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9C52" w14:textId="77777777" w:rsidR="00391A65" w:rsidRDefault="00391A65" w:rsidP="004046EF">
      <w:pPr>
        <w:autoSpaceDE w:val="0"/>
        <w:autoSpaceDN w:val="0"/>
        <w:adjustRightInd w:val="0"/>
        <w:spacing w:after="0" w:line="240" w:lineRule="auto"/>
        <w:rPr>
          <w:rFonts w:cs="MyriadPro-Regular"/>
          <w:b/>
          <w:sz w:val="24"/>
          <w:szCs w:val="24"/>
          <w:lang w:val="en-US"/>
        </w:rPr>
      </w:pPr>
    </w:p>
    <w:p w14:paraId="7287DD44" w14:textId="77777777" w:rsidR="00391A65" w:rsidRDefault="00391A65" w:rsidP="004046EF">
      <w:pPr>
        <w:autoSpaceDE w:val="0"/>
        <w:autoSpaceDN w:val="0"/>
        <w:adjustRightInd w:val="0"/>
        <w:spacing w:after="0" w:line="240" w:lineRule="auto"/>
        <w:rPr>
          <w:rFonts w:cs="MyriadPro-Regular"/>
          <w:b/>
          <w:sz w:val="24"/>
          <w:szCs w:val="24"/>
          <w:lang w:val="en-US"/>
        </w:rPr>
      </w:pPr>
    </w:p>
    <w:p w14:paraId="614064A0" w14:textId="77777777" w:rsidR="00391A65" w:rsidRDefault="00391A65" w:rsidP="00391A65">
      <w:pPr>
        <w:autoSpaceDE w:val="0"/>
        <w:autoSpaceDN w:val="0"/>
        <w:adjustRightInd w:val="0"/>
        <w:spacing w:after="0" w:line="240" w:lineRule="auto"/>
        <w:jc w:val="center"/>
        <w:rPr>
          <w:rFonts w:cs="MyriadPro-Regular"/>
          <w:b/>
          <w:sz w:val="24"/>
          <w:szCs w:val="24"/>
          <w:lang w:val="en-US"/>
        </w:rPr>
      </w:pPr>
      <w:r>
        <w:rPr>
          <w:noProof/>
        </w:rPr>
        <w:drawing>
          <wp:inline distT="0" distB="0" distL="0" distR="0" wp14:anchorId="7E15AD03" wp14:editId="7E46C7F5">
            <wp:extent cx="1657350" cy="130492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a:ln>
                      <a:noFill/>
                    </a:ln>
                  </pic:spPr>
                </pic:pic>
              </a:graphicData>
            </a:graphic>
          </wp:inline>
        </w:drawing>
      </w:r>
    </w:p>
    <w:p w14:paraId="7E612FC1" w14:textId="77777777" w:rsidR="00391A65" w:rsidRDefault="00391A65" w:rsidP="004046EF">
      <w:pPr>
        <w:autoSpaceDE w:val="0"/>
        <w:autoSpaceDN w:val="0"/>
        <w:adjustRightInd w:val="0"/>
        <w:spacing w:after="0" w:line="240" w:lineRule="auto"/>
        <w:rPr>
          <w:rFonts w:cs="MyriadPro-Regular"/>
          <w:b/>
          <w:sz w:val="24"/>
          <w:szCs w:val="24"/>
          <w:lang w:val="en-US"/>
        </w:rPr>
      </w:pPr>
    </w:p>
    <w:p w14:paraId="7171F2F3" w14:textId="77777777" w:rsidR="004046EF" w:rsidRPr="00391A65" w:rsidRDefault="004046EF" w:rsidP="004046EF">
      <w:pPr>
        <w:autoSpaceDE w:val="0"/>
        <w:autoSpaceDN w:val="0"/>
        <w:adjustRightInd w:val="0"/>
        <w:spacing w:after="0" w:line="240" w:lineRule="auto"/>
        <w:rPr>
          <w:rFonts w:cs="MyriadPro-Regular"/>
          <w:b/>
          <w:sz w:val="28"/>
          <w:szCs w:val="28"/>
          <w:lang w:val="en-US"/>
        </w:rPr>
      </w:pPr>
      <w:r w:rsidRPr="00391A65">
        <w:rPr>
          <w:rFonts w:cs="MyriadPro-Regular"/>
          <w:b/>
          <w:sz w:val="28"/>
          <w:szCs w:val="28"/>
          <w:lang w:val="en-US"/>
        </w:rPr>
        <w:t>Joint local action plans involving library, school and youth work</w:t>
      </w:r>
    </w:p>
    <w:p w14:paraId="3B824D96" w14:textId="77777777" w:rsidR="004046EF" w:rsidRPr="004046EF" w:rsidRDefault="004046EF" w:rsidP="004046EF">
      <w:pPr>
        <w:autoSpaceDE w:val="0"/>
        <w:autoSpaceDN w:val="0"/>
        <w:adjustRightInd w:val="0"/>
        <w:spacing w:after="0" w:line="240" w:lineRule="auto"/>
        <w:rPr>
          <w:rFonts w:cs="MyriadPro-Regular"/>
          <w:sz w:val="24"/>
          <w:szCs w:val="24"/>
          <w:lang w:val="en-US"/>
        </w:rPr>
      </w:pPr>
    </w:p>
    <w:p w14:paraId="10E75055" w14:textId="77777777" w:rsidR="00154AC6" w:rsidRDefault="00154AC6" w:rsidP="00154AC6">
      <w:pPr>
        <w:autoSpaceDE w:val="0"/>
        <w:autoSpaceDN w:val="0"/>
        <w:adjustRightInd w:val="0"/>
        <w:spacing w:after="0" w:line="240" w:lineRule="auto"/>
        <w:rPr>
          <w:rFonts w:cs="MyriadPro-Regular"/>
          <w:sz w:val="24"/>
          <w:szCs w:val="24"/>
          <w:lang w:val="en-US"/>
        </w:rPr>
      </w:pPr>
      <w:r>
        <w:rPr>
          <w:rFonts w:cs="MyriadPro-Regular"/>
          <w:sz w:val="24"/>
          <w:szCs w:val="24"/>
          <w:lang w:val="en-US"/>
        </w:rPr>
        <w:t>T</w:t>
      </w:r>
      <w:r w:rsidRPr="0007734C">
        <w:rPr>
          <w:rFonts w:cs="MyriadPro-Regular"/>
          <w:sz w:val="24"/>
          <w:szCs w:val="24"/>
          <w:lang w:val="en-US"/>
        </w:rPr>
        <w:t xml:space="preserve">he </w:t>
      </w:r>
      <w:r>
        <w:rPr>
          <w:rFonts w:cs="MyriadPro-Regular"/>
          <w:sz w:val="24"/>
          <w:szCs w:val="24"/>
          <w:lang w:val="en-US"/>
        </w:rPr>
        <w:t xml:space="preserve">present </w:t>
      </w:r>
      <w:r w:rsidRPr="0007734C">
        <w:rPr>
          <w:rFonts w:cs="MyriadPro-Regular"/>
          <w:sz w:val="24"/>
          <w:szCs w:val="24"/>
          <w:lang w:val="en-US"/>
        </w:rPr>
        <w:t xml:space="preserve">involvement with digital citizenship and 21 century skills of each local project </w:t>
      </w:r>
      <w:r w:rsidRPr="002F3F60">
        <w:rPr>
          <w:rFonts w:cs="MyriadPro-Regular"/>
          <w:sz w:val="24"/>
          <w:szCs w:val="24"/>
          <w:lang w:val="en-US"/>
        </w:rPr>
        <w:t xml:space="preserve">organization will be analyzed in the second part of Year 1. </w:t>
      </w:r>
      <w:r>
        <w:rPr>
          <w:rFonts w:cs="MyriadPro-Regular"/>
          <w:sz w:val="24"/>
          <w:szCs w:val="24"/>
          <w:lang w:val="en-US"/>
        </w:rPr>
        <w:t xml:space="preserve">To do this all partners will use the </w:t>
      </w:r>
      <w:r w:rsidRPr="00154AC6">
        <w:rPr>
          <w:rFonts w:cs="MyriadPro-Regular"/>
          <w:sz w:val="24"/>
          <w:szCs w:val="24"/>
          <w:u w:val="single"/>
          <w:lang w:val="en-US"/>
        </w:rPr>
        <w:t>6- cylinder methodology</w:t>
      </w:r>
      <w:r>
        <w:rPr>
          <w:rFonts w:cs="MyriadPro-Regular"/>
          <w:sz w:val="24"/>
          <w:szCs w:val="24"/>
          <w:lang w:val="en-US"/>
        </w:rPr>
        <w:t>. With this methodology schools, libraries and youth work will map they are involved in teaching digital citizenship skills and competences as well as 21</w:t>
      </w:r>
      <w:r w:rsidRPr="000A78F9">
        <w:rPr>
          <w:rFonts w:cs="MyriadPro-Regular"/>
          <w:sz w:val="24"/>
          <w:szCs w:val="24"/>
          <w:vertAlign w:val="superscript"/>
          <w:lang w:val="en-US"/>
        </w:rPr>
        <w:t>st</w:t>
      </w:r>
      <w:r>
        <w:rPr>
          <w:rFonts w:cs="MyriadPro-Regular"/>
          <w:sz w:val="24"/>
          <w:szCs w:val="24"/>
          <w:lang w:val="en-US"/>
        </w:rPr>
        <w:t xml:space="preserve"> century skills and areas they still must work on.  It offers information of each partner on:</w:t>
      </w:r>
    </w:p>
    <w:p w14:paraId="15018261" w14:textId="77777777" w:rsidR="00154AC6" w:rsidRDefault="00154AC6" w:rsidP="00154AC6">
      <w:pPr>
        <w:autoSpaceDE w:val="0"/>
        <w:autoSpaceDN w:val="0"/>
        <w:adjustRightInd w:val="0"/>
        <w:spacing w:after="0" w:line="240" w:lineRule="auto"/>
        <w:rPr>
          <w:rFonts w:cs="MyriadPro-Regular"/>
          <w:sz w:val="24"/>
          <w:szCs w:val="24"/>
          <w:lang w:val="en-US"/>
        </w:rPr>
      </w:pPr>
    </w:p>
    <w:p w14:paraId="75F3913C" w14:textId="77777777" w:rsidR="00154AC6" w:rsidRDefault="00154AC6" w:rsidP="00154AC6">
      <w:pPr>
        <w:pStyle w:val="ListParagraph"/>
        <w:numPr>
          <w:ilvl w:val="0"/>
          <w:numId w:val="2"/>
        </w:numPr>
        <w:autoSpaceDE w:val="0"/>
        <w:autoSpaceDN w:val="0"/>
        <w:adjustRightInd w:val="0"/>
        <w:spacing w:after="0" w:line="240" w:lineRule="auto"/>
        <w:rPr>
          <w:rFonts w:cs="MyriadPro-Regular"/>
          <w:sz w:val="24"/>
          <w:szCs w:val="24"/>
          <w:lang w:val="en-US"/>
        </w:rPr>
      </w:pPr>
      <w:r>
        <w:rPr>
          <w:rFonts w:cs="MyriadPro-Regular"/>
          <w:sz w:val="24"/>
          <w:szCs w:val="24"/>
          <w:lang w:val="en-US"/>
        </w:rPr>
        <w:t>V</w:t>
      </w:r>
      <w:r w:rsidRPr="00154AC6">
        <w:rPr>
          <w:rFonts w:cs="MyriadPro-Regular"/>
          <w:sz w:val="24"/>
          <w:szCs w:val="24"/>
          <w:lang w:val="en-US"/>
        </w:rPr>
        <w:t xml:space="preserve">ision &amp; policies; </w:t>
      </w:r>
    </w:p>
    <w:p w14:paraId="1C17AE60" w14:textId="77777777" w:rsidR="00154AC6" w:rsidRDefault="00154AC6" w:rsidP="00154AC6">
      <w:pPr>
        <w:pStyle w:val="ListParagraph"/>
        <w:numPr>
          <w:ilvl w:val="0"/>
          <w:numId w:val="2"/>
        </w:numPr>
        <w:autoSpaceDE w:val="0"/>
        <w:autoSpaceDN w:val="0"/>
        <w:adjustRightInd w:val="0"/>
        <w:spacing w:after="0" w:line="240" w:lineRule="auto"/>
        <w:rPr>
          <w:rFonts w:cs="MyriadPro-Regular"/>
          <w:sz w:val="24"/>
          <w:szCs w:val="24"/>
          <w:lang w:val="en-US"/>
        </w:rPr>
      </w:pPr>
      <w:r w:rsidRPr="00154AC6">
        <w:rPr>
          <w:rFonts w:cs="MyriadPro-Regular"/>
          <w:sz w:val="24"/>
          <w:szCs w:val="24"/>
          <w:lang w:val="en-US"/>
        </w:rPr>
        <w:t xml:space="preserve">MLF parent involvement; </w:t>
      </w:r>
    </w:p>
    <w:p w14:paraId="53894ADA" w14:textId="77777777" w:rsidR="00154AC6" w:rsidRDefault="00154AC6" w:rsidP="00154AC6">
      <w:pPr>
        <w:pStyle w:val="ListParagraph"/>
        <w:numPr>
          <w:ilvl w:val="0"/>
          <w:numId w:val="2"/>
        </w:numPr>
        <w:autoSpaceDE w:val="0"/>
        <w:autoSpaceDN w:val="0"/>
        <w:adjustRightInd w:val="0"/>
        <w:spacing w:after="0" w:line="240" w:lineRule="auto"/>
        <w:rPr>
          <w:rFonts w:cs="MyriadPro-Regular"/>
          <w:sz w:val="24"/>
          <w:szCs w:val="24"/>
          <w:lang w:val="en-US"/>
        </w:rPr>
      </w:pPr>
      <w:r w:rsidRPr="00154AC6">
        <w:rPr>
          <w:rFonts w:cs="MyriadPro-Regular"/>
          <w:sz w:val="24"/>
          <w:szCs w:val="24"/>
          <w:lang w:val="en-US"/>
        </w:rPr>
        <w:t xml:space="preserve">Digital competence of professionals; </w:t>
      </w:r>
    </w:p>
    <w:p w14:paraId="55096CF4" w14:textId="77777777" w:rsidR="00154AC6" w:rsidRDefault="00154AC6" w:rsidP="00154AC6">
      <w:pPr>
        <w:pStyle w:val="ListParagraph"/>
        <w:numPr>
          <w:ilvl w:val="0"/>
          <w:numId w:val="2"/>
        </w:numPr>
        <w:autoSpaceDE w:val="0"/>
        <w:autoSpaceDN w:val="0"/>
        <w:adjustRightInd w:val="0"/>
        <w:spacing w:after="0" w:line="240" w:lineRule="auto"/>
        <w:rPr>
          <w:rFonts w:cs="MyriadPro-Regular"/>
          <w:sz w:val="24"/>
          <w:szCs w:val="24"/>
          <w:lang w:val="en-US"/>
        </w:rPr>
      </w:pPr>
      <w:r>
        <w:rPr>
          <w:rFonts w:cs="MyriadPro-Regular"/>
          <w:sz w:val="24"/>
          <w:szCs w:val="24"/>
          <w:lang w:val="en-US"/>
        </w:rPr>
        <w:t>E</w:t>
      </w:r>
      <w:r w:rsidRPr="00154AC6">
        <w:rPr>
          <w:rFonts w:cs="MyriadPro-Regular"/>
          <w:sz w:val="24"/>
          <w:szCs w:val="24"/>
          <w:lang w:val="en-US"/>
        </w:rPr>
        <w:t>xisting cooperation with external neighborhood organizations;</w:t>
      </w:r>
    </w:p>
    <w:p w14:paraId="65A5ABB9" w14:textId="77777777" w:rsidR="00154AC6" w:rsidRDefault="00154AC6" w:rsidP="00154AC6">
      <w:pPr>
        <w:pStyle w:val="ListParagraph"/>
        <w:numPr>
          <w:ilvl w:val="0"/>
          <w:numId w:val="2"/>
        </w:numPr>
        <w:autoSpaceDE w:val="0"/>
        <w:autoSpaceDN w:val="0"/>
        <w:adjustRightInd w:val="0"/>
        <w:spacing w:after="0" w:line="240" w:lineRule="auto"/>
        <w:rPr>
          <w:rFonts w:cs="MyriadPro-Regular"/>
          <w:sz w:val="24"/>
          <w:szCs w:val="24"/>
          <w:lang w:val="en-US"/>
        </w:rPr>
      </w:pPr>
      <w:r>
        <w:rPr>
          <w:rFonts w:cs="MyriadPro-Regular"/>
          <w:sz w:val="24"/>
          <w:szCs w:val="24"/>
          <w:lang w:val="en-US"/>
        </w:rPr>
        <w:t>A</w:t>
      </w:r>
      <w:r w:rsidRPr="00154AC6">
        <w:rPr>
          <w:rFonts w:cs="MyriadPro-Regular"/>
          <w:sz w:val="24"/>
          <w:szCs w:val="24"/>
          <w:lang w:val="en-US"/>
        </w:rPr>
        <w:t>ge groups</w:t>
      </w:r>
      <w:r>
        <w:rPr>
          <w:rFonts w:cs="MyriadPro-Regular"/>
          <w:sz w:val="24"/>
          <w:szCs w:val="24"/>
          <w:lang w:val="en-US"/>
        </w:rPr>
        <w:t xml:space="preserve"> being targeted</w:t>
      </w:r>
      <w:r w:rsidRPr="00154AC6">
        <w:rPr>
          <w:rFonts w:cs="MyriadPro-Regular"/>
          <w:sz w:val="24"/>
          <w:szCs w:val="24"/>
          <w:lang w:val="en-US"/>
        </w:rPr>
        <w:t xml:space="preserve"> </w:t>
      </w:r>
    </w:p>
    <w:p w14:paraId="1FB9C54E" w14:textId="77777777" w:rsidR="00154AC6" w:rsidRDefault="00154AC6" w:rsidP="00154AC6">
      <w:pPr>
        <w:pStyle w:val="ListParagraph"/>
        <w:numPr>
          <w:ilvl w:val="0"/>
          <w:numId w:val="2"/>
        </w:numPr>
        <w:autoSpaceDE w:val="0"/>
        <w:autoSpaceDN w:val="0"/>
        <w:adjustRightInd w:val="0"/>
        <w:spacing w:after="0" w:line="240" w:lineRule="auto"/>
        <w:rPr>
          <w:rFonts w:cs="MyriadPro-Regular"/>
          <w:sz w:val="24"/>
          <w:szCs w:val="24"/>
          <w:lang w:val="en-US"/>
        </w:rPr>
      </w:pPr>
      <w:r>
        <w:rPr>
          <w:rFonts w:cs="MyriadPro-Regular"/>
          <w:sz w:val="24"/>
          <w:szCs w:val="24"/>
          <w:lang w:val="en-US"/>
        </w:rPr>
        <w:t>E</w:t>
      </w:r>
      <w:r w:rsidRPr="00154AC6">
        <w:rPr>
          <w:rFonts w:cs="MyriadPro-Regular"/>
          <w:sz w:val="24"/>
          <w:szCs w:val="24"/>
          <w:lang w:val="en-US"/>
        </w:rPr>
        <w:t>xiting digital citizenship and 21</w:t>
      </w:r>
      <w:r w:rsidRPr="00154AC6">
        <w:rPr>
          <w:rFonts w:cs="MyriadPro-Regular"/>
          <w:sz w:val="24"/>
          <w:szCs w:val="24"/>
          <w:vertAlign w:val="superscript"/>
          <w:lang w:val="en-US"/>
        </w:rPr>
        <w:t>st</w:t>
      </w:r>
      <w:r w:rsidRPr="00154AC6">
        <w:rPr>
          <w:rFonts w:cs="MyriadPro-Regular"/>
          <w:sz w:val="24"/>
          <w:szCs w:val="24"/>
          <w:lang w:val="en-US"/>
        </w:rPr>
        <w:t xml:space="preserve"> century skills activities. </w:t>
      </w:r>
    </w:p>
    <w:p w14:paraId="34D306CC" w14:textId="77777777" w:rsidR="00154AC6" w:rsidRDefault="00154AC6" w:rsidP="00154AC6">
      <w:pPr>
        <w:pStyle w:val="ListParagraph"/>
        <w:autoSpaceDE w:val="0"/>
        <w:autoSpaceDN w:val="0"/>
        <w:adjustRightInd w:val="0"/>
        <w:spacing w:after="0" w:line="240" w:lineRule="auto"/>
        <w:ind w:left="360"/>
        <w:rPr>
          <w:rFonts w:cs="MyriadPro-Regular"/>
          <w:sz w:val="24"/>
          <w:szCs w:val="24"/>
          <w:lang w:val="en-US"/>
        </w:rPr>
      </w:pPr>
    </w:p>
    <w:p w14:paraId="1EB88233" w14:textId="77777777" w:rsidR="00154AC6" w:rsidRPr="00154AC6" w:rsidRDefault="00154AC6" w:rsidP="00154AC6">
      <w:pPr>
        <w:autoSpaceDE w:val="0"/>
        <w:autoSpaceDN w:val="0"/>
        <w:adjustRightInd w:val="0"/>
        <w:spacing w:after="0" w:line="240" w:lineRule="auto"/>
        <w:rPr>
          <w:rFonts w:cs="MyriadPro-Regular"/>
          <w:sz w:val="24"/>
          <w:szCs w:val="24"/>
          <w:lang w:val="en-US"/>
        </w:rPr>
      </w:pPr>
      <w:r w:rsidRPr="00154AC6">
        <w:rPr>
          <w:rFonts w:cs="MyriadPro-Regular"/>
          <w:sz w:val="24"/>
          <w:szCs w:val="24"/>
          <w:lang w:val="en-US"/>
        </w:rPr>
        <w:t xml:space="preserve">Based on these reports, separate groups in and around the organization will be interviewed and asked for their opinions, dreams and foreseeable obstacles. Target groups are: MLF parents, educational professionals (librarians, teachers and youth workers), and management. MLF Children and youngsters will be interviewed indirectly as part of a media education activity. </w:t>
      </w:r>
    </w:p>
    <w:p w14:paraId="276799F3" w14:textId="77777777" w:rsidR="00154AC6" w:rsidRDefault="00154AC6" w:rsidP="004046EF">
      <w:pPr>
        <w:autoSpaceDE w:val="0"/>
        <w:autoSpaceDN w:val="0"/>
        <w:adjustRightInd w:val="0"/>
        <w:spacing w:after="0" w:line="240" w:lineRule="auto"/>
        <w:rPr>
          <w:rFonts w:cs="MyriadPro-Regular"/>
          <w:sz w:val="24"/>
          <w:szCs w:val="24"/>
          <w:lang w:val="en-US"/>
        </w:rPr>
      </w:pPr>
    </w:p>
    <w:p w14:paraId="4C89B453" w14:textId="77777777" w:rsidR="00154AC6" w:rsidRDefault="004046EF" w:rsidP="004046EF">
      <w:pPr>
        <w:autoSpaceDE w:val="0"/>
        <w:autoSpaceDN w:val="0"/>
        <w:adjustRightInd w:val="0"/>
        <w:spacing w:after="0" w:line="240" w:lineRule="auto"/>
        <w:rPr>
          <w:rFonts w:cs="MyriadPro-Regular"/>
          <w:sz w:val="24"/>
          <w:szCs w:val="24"/>
          <w:lang w:val="en-US"/>
        </w:rPr>
      </w:pPr>
      <w:r w:rsidRPr="00BB3914">
        <w:rPr>
          <w:rFonts w:cs="MyriadPro-Regular"/>
          <w:sz w:val="24"/>
          <w:szCs w:val="24"/>
          <w:lang w:val="en-US"/>
        </w:rPr>
        <w:t xml:space="preserve">The organizational reports will be jointly evaluated in the local partnership. Based on the outcomes partners will look for </w:t>
      </w:r>
      <w:r w:rsidR="00154AC6">
        <w:rPr>
          <w:rFonts w:cs="MyriadPro-Regular"/>
          <w:sz w:val="24"/>
          <w:szCs w:val="24"/>
          <w:lang w:val="en-US"/>
        </w:rPr>
        <w:t xml:space="preserve">“horizontal” </w:t>
      </w:r>
      <w:r w:rsidRPr="00BB3914">
        <w:rPr>
          <w:rFonts w:cs="MyriadPro-Regular"/>
          <w:sz w:val="24"/>
          <w:szCs w:val="24"/>
          <w:lang w:val="en-US"/>
        </w:rPr>
        <w:t xml:space="preserve">similarities, development issues, ways to support each other and discuss joint initiatives. </w:t>
      </w:r>
      <w:r w:rsidR="00154AC6">
        <w:rPr>
          <w:rFonts w:cs="MyriadPro-Regular"/>
          <w:sz w:val="24"/>
          <w:szCs w:val="24"/>
          <w:lang w:val="en-US"/>
        </w:rPr>
        <w:t xml:space="preserve">In addition, attention will be given to wishes and needs of school, libraries and youth- and other social partner organizations </w:t>
      </w:r>
      <w:r w:rsidR="006C1773">
        <w:rPr>
          <w:rFonts w:cs="MyriadPro-Regular"/>
          <w:sz w:val="24"/>
          <w:szCs w:val="24"/>
          <w:lang w:val="en-US"/>
        </w:rPr>
        <w:t>considering “</w:t>
      </w:r>
      <w:r>
        <w:rPr>
          <w:rFonts w:cs="MyriadPro-Regular"/>
          <w:sz w:val="24"/>
          <w:szCs w:val="24"/>
          <w:lang w:val="en-US"/>
        </w:rPr>
        <w:t>vertical” development of digital competences</w:t>
      </w:r>
      <w:r w:rsidR="00154AC6">
        <w:rPr>
          <w:rFonts w:cs="MyriadPro-Regular"/>
          <w:sz w:val="24"/>
          <w:szCs w:val="24"/>
          <w:lang w:val="en-US"/>
        </w:rPr>
        <w:t xml:space="preserve"> of children, youth and professionals.</w:t>
      </w:r>
      <w:r>
        <w:rPr>
          <w:rFonts w:cs="MyriadPro-Regular"/>
          <w:sz w:val="24"/>
          <w:szCs w:val="24"/>
          <w:lang w:val="en-US"/>
        </w:rPr>
        <w:t xml:space="preserve"> </w:t>
      </w:r>
    </w:p>
    <w:p w14:paraId="59D7C511" w14:textId="77777777" w:rsidR="00154AC6" w:rsidRDefault="00154AC6" w:rsidP="004046EF">
      <w:pPr>
        <w:autoSpaceDE w:val="0"/>
        <w:autoSpaceDN w:val="0"/>
        <w:adjustRightInd w:val="0"/>
        <w:spacing w:after="0" w:line="240" w:lineRule="auto"/>
        <w:rPr>
          <w:rFonts w:cs="MyriadPro-Regular"/>
          <w:sz w:val="24"/>
          <w:szCs w:val="24"/>
          <w:lang w:val="en-US"/>
        </w:rPr>
      </w:pPr>
    </w:p>
    <w:p w14:paraId="45B0131D" w14:textId="77777777" w:rsidR="00BA772A" w:rsidRDefault="004046EF" w:rsidP="004046EF">
      <w:pPr>
        <w:autoSpaceDE w:val="0"/>
        <w:autoSpaceDN w:val="0"/>
        <w:adjustRightInd w:val="0"/>
        <w:spacing w:after="0" w:line="240" w:lineRule="auto"/>
        <w:rPr>
          <w:sz w:val="24"/>
          <w:szCs w:val="24"/>
          <w:lang w:val="en-US"/>
        </w:rPr>
      </w:pPr>
      <w:r w:rsidRPr="00BB3914">
        <w:rPr>
          <w:rFonts w:cs="MyriadPro-Regular"/>
          <w:sz w:val="24"/>
          <w:szCs w:val="24"/>
          <w:lang w:val="en-US"/>
        </w:rPr>
        <w:t xml:space="preserve">This </w:t>
      </w:r>
      <w:r w:rsidR="00BA772A">
        <w:rPr>
          <w:rFonts w:cs="MyriadPro-Regular"/>
          <w:sz w:val="24"/>
          <w:szCs w:val="24"/>
          <w:lang w:val="en-US"/>
        </w:rPr>
        <w:t>should</w:t>
      </w:r>
      <w:r w:rsidRPr="00BB3914">
        <w:rPr>
          <w:rFonts w:cs="MyriadPro-Regular"/>
          <w:sz w:val="24"/>
          <w:szCs w:val="24"/>
          <w:lang w:val="en-US"/>
        </w:rPr>
        <w:t xml:space="preserve"> result in a local action plan with development issues, training packages for professionals and pilot activities with MLF children, youngsters and parents. The local action plan will also consider the findings in the national reports like </w:t>
      </w:r>
      <w:r>
        <w:rPr>
          <w:rFonts w:cs="MyriadPro-Regular"/>
          <w:sz w:val="24"/>
          <w:szCs w:val="24"/>
          <w:lang w:val="en-US"/>
        </w:rPr>
        <w:t>expected national trends and existi</w:t>
      </w:r>
      <w:r w:rsidRPr="00BB3914">
        <w:rPr>
          <w:rFonts w:cs="MyriadPro-Regular"/>
          <w:sz w:val="24"/>
          <w:szCs w:val="24"/>
          <w:lang w:val="en-US"/>
        </w:rPr>
        <w:t xml:space="preserve">ng </w:t>
      </w:r>
      <w:r w:rsidRPr="00BB3914">
        <w:rPr>
          <w:sz w:val="24"/>
          <w:szCs w:val="24"/>
          <w:lang w:val="en-US"/>
        </w:rPr>
        <w:t xml:space="preserve">Digital Competence frameworks </w:t>
      </w:r>
      <w:r w:rsidR="00BA772A">
        <w:rPr>
          <w:sz w:val="24"/>
          <w:szCs w:val="24"/>
          <w:lang w:val="en-US"/>
        </w:rPr>
        <w:t>to</w:t>
      </w:r>
      <w:r w:rsidRPr="00BB3914">
        <w:rPr>
          <w:sz w:val="24"/>
          <w:szCs w:val="24"/>
          <w:lang w:val="en-US"/>
        </w:rPr>
        <w:t xml:space="preserve"> be in line with national policy developments.</w:t>
      </w:r>
      <w:r>
        <w:rPr>
          <w:sz w:val="24"/>
          <w:szCs w:val="24"/>
          <w:lang w:val="en-US"/>
        </w:rPr>
        <w:t xml:space="preserve"> </w:t>
      </w:r>
    </w:p>
    <w:p w14:paraId="0EDA15A2" w14:textId="77777777" w:rsidR="00BA772A" w:rsidRDefault="00BA772A" w:rsidP="004046EF">
      <w:pPr>
        <w:autoSpaceDE w:val="0"/>
        <w:autoSpaceDN w:val="0"/>
        <w:adjustRightInd w:val="0"/>
        <w:spacing w:after="0" w:line="240" w:lineRule="auto"/>
        <w:rPr>
          <w:sz w:val="24"/>
          <w:szCs w:val="24"/>
          <w:lang w:val="en-US"/>
        </w:rPr>
      </w:pPr>
    </w:p>
    <w:p w14:paraId="5F7C9003" w14:textId="77777777" w:rsidR="004046EF" w:rsidRDefault="004046EF" w:rsidP="00E527CA">
      <w:pPr>
        <w:autoSpaceDE w:val="0"/>
        <w:autoSpaceDN w:val="0"/>
        <w:adjustRightInd w:val="0"/>
        <w:spacing w:after="0" w:line="240" w:lineRule="auto"/>
        <w:rPr>
          <w:sz w:val="24"/>
          <w:szCs w:val="24"/>
          <w:lang w:val="en-US"/>
        </w:rPr>
      </w:pPr>
      <w:r>
        <w:rPr>
          <w:sz w:val="24"/>
          <w:szCs w:val="24"/>
          <w:lang w:val="en-US"/>
        </w:rPr>
        <w:t xml:space="preserve">Based on the local action plan each partnership will develop an organizational local infrastructure which will plan, monitor and evaluate the execution of the local action plan and the horizontal cooperation. </w:t>
      </w:r>
      <w:r>
        <w:rPr>
          <w:rFonts w:cs="MyriadPro-Regular"/>
          <w:sz w:val="24"/>
          <w:szCs w:val="24"/>
          <w:lang w:val="en-US"/>
        </w:rPr>
        <w:t xml:space="preserve">At the end of Year 2 the entire process will be </w:t>
      </w:r>
      <w:r w:rsidR="00BA772A">
        <w:rPr>
          <w:rFonts w:cs="MyriadPro-Regular"/>
          <w:sz w:val="24"/>
          <w:szCs w:val="24"/>
          <w:lang w:val="en-US"/>
        </w:rPr>
        <w:t>evaluated,</w:t>
      </w:r>
      <w:r>
        <w:rPr>
          <w:rFonts w:cs="MyriadPro-Regular"/>
          <w:sz w:val="24"/>
          <w:szCs w:val="24"/>
          <w:lang w:val="en-US"/>
        </w:rPr>
        <w:t xml:space="preserve"> and the strategies will be adapted. The first results will be presented in the second local multiplier meeting.</w:t>
      </w:r>
    </w:p>
    <w:p w14:paraId="48ADAAB7" w14:textId="77777777" w:rsidR="00BA772A" w:rsidRDefault="00E527CA" w:rsidP="00E527CA">
      <w:pPr>
        <w:spacing w:after="0" w:line="240" w:lineRule="auto"/>
        <w:rPr>
          <w:b/>
          <w:sz w:val="28"/>
          <w:szCs w:val="28"/>
          <w:lang w:val="en-US"/>
        </w:rPr>
      </w:pPr>
      <w:r w:rsidRPr="00391A65">
        <w:rPr>
          <w:b/>
          <w:sz w:val="28"/>
          <w:szCs w:val="28"/>
          <w:lang w:val="en-US"/>
        </w:rPr>
        <w:lastRenderedPageBreak/>
        <w:t>Format local action plan</w:t>
      </w:r>
    </w:p>
    <w:p w14:paraId="497B1056" w14:textId="77777777" w:rsidR="006C455B" w:rsidRDefault="006C455B" w:rsidP="00E527CA">
      <w:pPr>
        <w:spacing w:after="0" w:line="240" w:lineRule="auto"/>
        <w:rPr>
          <w:b/>
          <w:sz w:val="28"/>
          <w:szCs w:val="28"/>
          <w:lang w:val="en-US"/>
        </w:rPr>
      </w:pPr>
    </w:p>
    <w:p w14:paraId="112E95A0" w14:textId="77777777" w:rsidR="005D4524" w:rsidRDefault="005D4524" w:rsidP="005D4524">
      <w:pPr>
        <w:spacing w:after="0" w:line="240" w:lineRule="auto"/>
        <w:rPr>
          <w:b/>
          <w:sz w:val="24"/>
          <w:szCs w:val="24"/>
          <w:lang w:val="en-US"/>
        </w:rPr>
      </w:pPr>
      <w:r w:rsidRPr="005D4524">
        <w:rPr>
          <w:b/>
          <w:sz w:val="24"/>
          <w:szCs w:val="24"/>
          <w:lang w:val="en-US"/>
        </w:rPr>
        <w:t>Work</w:t>
      </w:r>
      <w:r>
        <w:rPr>
          <w:b/>
          <w:sz w:val="24"/>
          <w:szCs w:val="24"/>
          <w:lang w:val="en-US"/>
        </w:rPr>
        <w:t xml:space="preserve"> </w:t>
      </w:r>
      <w:r w:rsidRPr="005D4524">
        <w:rPr>
          <w:b/>
          <w:sz w:val="24"/>
          <w:szCs w:val="24"/>
          <w:lang w:val="en-US"/>
        </w:rPr>
        <w:t>process</w:t>
      </w:r>
    </w:p>
    <w:p w14:paraId="432EE18F" w14:textId="77777777" w:rsidR="005D4524" w:rsidRDefault="005D4524" w:rsidP="005D4524">
      <w:pPr>
        <w:spacing w:after="0" w:line="240" w:lineRule="auto"/>
        <w:rPr>
          <w:b/>
          <w:sz w:val="24"/>
          <w:szCs w:val="24"/>
          <w:lang w:val="en-US"/>
        </w:rPr>
      </w:pPr>
    </w:p>
    <w:p w14:paraId="788FFAE5" w14:textId="77777777" w:rsidR="005D4524" w:rsidRDefault="005D4524" w:rsidP="005D4524">
      <w:pPr>
        <w:autoSpaceDE w:val="0"/>
        <w:autoSpaceDN w:val="0"/>
        <w:spacing w:after="0" w:line="240" w:lineRule="auto"/>
        <w:rPr>
          <w:lang w:val="en-US"/>
        </w:rPr>
      </w:pPr>
      <w:r w:rsidRPr="005D4524">
        <w:rPr>
          <w:lang w:val="en-US"/>
        </w:rPr>
        <w:t xml:space="preserve">The local action plan is the basic element of the COLIBLITE project. It should be based on the cooperation between the three educational environments: family, school and street (neighborhood). In this project in each local partnership </w:t>
      </w:r>
      <w:r w:rsidRPr="005D4524">
        <w:rPr>
          <w:u w:val="single"/>
          <w:lang w:val="en-US"/>
        </w:rPr>
        <w:t>the family</w:t>
      </w:r>
      <w:r w:rsidRPr="005D4524">
        <w:rPr>
          <w:lang w:val="en-US"/>
        </w:rPr>
        <w:t xml:space="preserve"> will be represented by the MLF parents, </w:t>
      </w:r>
      <w:r w:rsidRPr="005D4524">
        <w:rPr>
          <w:u w:val="single"/>
          <w:lang w:val="en-US"/>
        </w:rPr>
        <w:t>the school</w:t>
      </w:r>
      <w:r w:rsidRPr="005D4524">
        <w:rPr>
          <w:lang w:val="en-US"/>
        </w:rPr>
        <w:t xml:space="preserve"> by one or more schools, </w:t>
      </w:r>
      <w:r w:rsidRPr="005D4524">
        <w:rPr>
          <w:u w:val="single"/>
          <w:lang w:val="en-US"/>
        </w:rPr>
        <w:t>the street /neighborhood</w:t>
      </w:r>
      <w:r w:rsidRPr="005D4524">
        <w:rPr>
          <w:lang w:val="en-US"/>
        </w:rPr>
        <w:t xml:space="preserve"> by youth workers and </w:t>
      </w:r>
      <w:r w:rsidRPr="005D4524">
        <w:rPr>
          <w:u w:val="single"/>
          <w:lang w:val="en-US"/>
        </w:rPr>
        <w:t>the library acts as an in-between</w:t>
      </w:r>
      <w:r w:rsidRPr="005D4524">
        <w:rPr>
          <w:lang w:val="en-US"/>
        </w:rPr>
        <w:t xml:space="preserve"> between school and neighborhood. </w:t>
      </w:r>
    </w:p>
    <w:p w14:paraId="46991C20" w14:textId="77777777" w:rsidR="005D4524" w:rsidRDefault="005D4524" w:rsidP="005D4524">
      <w:pPr>
        <w:autoSpaceDE w:val="0"/>
        <w:autoSpaceDN w:val="0"/>
        <w:spacing w:after="0" w:line="240" w:lineRule="auto"/>
        <w:rPr>
          <w:lang w:val="en-US"/>
        </w:rPr>
      </w:pPr>
    </w:p>
    <w:p w14:paraId="7AD8D80E" w14:textId="77777777" w:rsidR="005D4524" w:rsidRPr="005D4524" w:rsidRDefault="005D4524" w:rsidP="005D4524">
      <w:pPr>
        <w:autoSpaceDE w:val="0"/>
        <w:autoSpaceDN w:val="0"/>
        <w:spacing w:after="0" w:line="240" w:lineRule="auto"/>
        <w:rPr>
          <w:lang w:val="en-US"/>
        </w:rPr>
      </w:pPr>
      <w:r>
        <w:rPr>
          <w:lang w:val="en-US"/>
        </w:rPr>
        <w:t xml:space="preserve">Step 1 </w:t>
      </w:r>
      <w:r w:rsidR="008A0F4C">
        <w:rPr>
          <w:lang w:val="en-US"/>
        </w:rPr>
        <w:t>–</w:t>
      </w:r>
      <w:r>
        <w:rPr>
          <w:lang w:val="en-US"/>
        </w:rPr>
        <w:t xml:space="preserve"> </w:t>
      </w:r>
      <w:r w:rsidR="008A0F4C">
        <w:rPr>
          <w:lang w:val="en-US"/>
        </w:rPr>
        <w:t>4 are necessary steps to be taken in preparation of the local action plan.</w:t>
      </w:r>
    </w:p>
    <w:p w14:paraId="6BE58885" w14:textId="77777777" w:rsidR="008A0F4C" w:rsidRDefault="008A0F4C" w:rsidP="00E527CA">
      <w:pPr>
        <w:spacing w:after="0" w:line="240" w:lineRule="auto"/>
        <w:rPr>
          <w:b/>
          <w:sz w:val="28"/>
          <w:szCs w:val="28"/>
          <w:lang w:val="en-US"/>
        </w:rPr>
      </w:pPr>
    </w:p>
    <w:p w14:paraId="5FB344D6" w14:textId="77777777" w:rsidR="008A0F4C" w:rsidRDefault="008A0F4C" w:rsidP="00E527CA">
      <w:pPr>
        <w:spacing w:after="0" w:line="240" w:lineRule="auto"/>
        <w:rPr>
          <w:b/>
          <w:sz w:val="28"/>
          <w:szCs w:val="28"/>
          <w:lang w:val="en-US"/>
        </w:rPr>
      </w:pPr>
      <w:r>
        <w:rPr>
          <w:noProof/>
        </w:rPr>
        <w:drawing>
          <wp:inline distT="0" distB="0" distL="0" distR="0" wp14:anchorId="57499F79" wp14:editId="3E77CC0F">
            <wp:extent cx="5731510" cy="3080385"/>
            <wp:effectExtent l="0" t="0" r="254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80385"/>
                    </a:xfrm>
                    <a:prstGeom prst="rect">
                      <a:avLst/>
                    </a:prstGeom>
                  </pic:spPr>
                </pic:pic>
              </a:graphicData>
            </a:graphic>
          </wp:inline>
        </w:drawing>
      </w:r>
    </w:p>
    <w:p w14:paraId="7B649C95" w14:textId="77777777" w:rsidR="008A0F4C" w:rsidRPr="008A0F4C" w:rsidRDefault="008A0F4C" w:rsidP="00E527CA">
      <w:pPr>
        <w:spacing w:after="0" w:line="240" w:lineRule="auto"/>
        <w:rPr>
          <w:b/>
          <w:sz w:val="24"/>
          <w:szCs w:val="24"/>
          <w:lang w:val="en-US"/>
        </w:rPr>
      </w:pPr>
      <w:r w:rsidRPr="008A0F4C">
        <w:rPr>
          <w:b/>
          <w:sz w:val="24"/>
          <w:szCs w:val="24"/>
          <w:lang w:val="en-US"/>
        </w:rPr>
        <w:t>The following activities were foreseen in the COLIBLITE action plan:</w:t>
      </w:r>
    </w:p>
    <w:p w14:paraId="5DD7EDF9" w14:textId="77777777" w:rsidR="008A0F4C" w:rsidRDefault="008A0F4C" w:rsidP="008A0F4C">
      <w:pPr>
        <w:numPr>
          <w:ilvl w:val="0"/>
          <w:numId w:val="3"/>
        </w:numPr>
        <w:autoSpaceDE w:val="0"/>
        <w:autoSpaceDN w:val="0"/>
        <w:spacing w:after="0" w:line="240" w:lineRule="auto"/>
        <w:contextualSpacing/>
        <w:rPr>
          <w:rFonts w:eastAsia="Times New Roman"/>
          <w:sz w:val="24"/>
          <w:szCs w:val="24"/>
          <w:lang w:val="en-US"/>
        </w:rPr>
      </w:pPr>
      <w:r>
        <w:rPr>
          <w:rFonts w:eastAsia="Times New Roman"/>
          <w:sz w:val="24"/>
          <w:szCs w:val="24"/>
          <w:lang w:val="en-US"/>
        </w:rPr>
        <w:t xml:space="preserve">Inventory of present own involvement of local COLIBLITE partners in digital citizenship activities and 21st century skills, </w:t>
      </w:r>
      <w:r>
        <w:rPr>
          <w:rFonts w:eastAsia="Times New Roman"/>
          <w:sz w:val="24"/>
          <w:szCs w:val="24"/>
          <w:u w:val="single"/>
          <w:lang w:val="en-US"/>
        </w:rPr>
        <w:t>based on 6-cylinder methodology</w:t>
      </w:r>
      <w:r>
        <w:rPr>
          <w:rFonts w:eastAsia="Times New Roman"/>
          <w:sz w:val="24"/>
          <w:szCs w:val="24"/>
          <w:lang w:val="en-US"/>
        </w:rPr>
        <w:t>;</w:t>
      </w:r>
    </w:p>
    <w:p w14:paraId="3FD14E63" w14:textId="77777777" w:rsidR="008A0F4C" w:rsidRDefault="008A0F4C" w:rsidP="008A0F4C">
      <w:pPr>
        <w:pStyle w:val="ListParagraph"/>
        <w:numPr>
          <w:ilvl w:val="2"/>
          <w:numId w:val="3"/>
        </w:numPr>
        <w:autoSpaceDE w:val="0"/>
        <w:autoSpaceDN w:val="0"/>
        <w:spacing w:after="0" w:line="240" w:lineRule="auto"/>
        <w:rPr>
          <w:sz w:val="24"/>
          <w:szCs w:val="24"/>
          <w:lang w:val="en-US"/>
        </w:rPr>
      </w:pPr>
      <w:r>
        <w:rPr>
          <w:sz w:val="24"/>
          <w:szCs w:val="24"/>
          <w:lang w:val="en-US"/>
        </w:rPr>
        <w:t xml:space="preserve">Interviews in each partner organization with management, professional workers and volunteers </w:t>
      </w:r>
    </w:p>
    <w:p w14:paraId="5BB8F924" w14:textId="77777777" w:rsidR="008A0F4C" w:rsidRDefault="008A0F4C" w:rsidP="008A0F4C">
      <w:pPr>
        <w:numPr>
          <w:ilvl w:val="0"/>
          <w:numId w:val="3"/>
        </w:numPr>
        <w:autoSpaceDE w:val="0"/>
        <w:autoSpaceDN w:val="0"/>
        <w:spacing w:after="0" w:line="240" w:lineRule="auto"/>
        <w:contextualSpacing/>
        <w:rPr>
          <w:rFonts w:eastAsia="Times New Roman"/>
          <w:sz w:val="24"/>
          <w:szCs w:val="24"/>
          <w:lang w:val="en-US"/>
        </w:rPr>
      </w:pPr>
      <w:r>
        <w:rPr>
          <w:rFonts w:eastAsia="Times New Roman"/>
          <w:sz w:val="24"/>
          <w:szCs w:val="24"/>
          <w:lang w:val="en-US"/>
        </w:rPr>
        <w:t>Inventory of existing other local (intercultural) activities and initiatives concerning 21</w:t>
      </w:r>
      <w:r>
        <w:rPr>
          <w:rFonts w:eastAsia="Times New Roman"/>
          <w:sz w:val="24"/>
          <w:szCs w:val="24"/>
          <w:vertAlign w:val="superscript"/>
          <w:lang w:val="en-US"/>
        </w:rPr>
        <w:t>st</w:t>
      </w:r>
      <w:r>
        <w:rPr>
          <w:rFonts w:eastAsia="Times New Roman"/>
          <w:sz w:val="24"/>
          <w:szCs w:val="24"/>
          <w:lang w:val="en-US"/>
        </w:rPr>
        <w:t xml:space="preserve"> century skills for children</w:t>
      </w:r>
    </w:p>
    <w:p w14:paraId="623AB75D" w14:textId="77777777" w:rsidR="008A0F4C" w:rsidRDefault="008A0F4C" w:rsidP="008A0F4C">
      <w:pPr>
        <w:numPr>
          <w:ilvl w:val="0"/>
          <w:numId w:val="4"/>
        </w:numPr>
        <w:autoSpaceDE w:val="0"/>
        <w:autoSpaceDN w:val="0"/>
        <w:spacing w:after="0" w:line="240" w:lineRule="auto"/>
        <w:contextualSpacing/>
        <w:rPr>
          <w:rFonts w:eastAsia="Times New Roman"/>
          <w:sz w:val="24"/>
          <w:szCs w:val="24"/>
          <w:lang w:val="en-US"/>
        </w:rPr>
      </w:pPr>
      <w:r>
        <w:rPr>
          <w:rFonts w:eastAsia="Times New Roman"/>
          <w:sz w:val="24"/>
          <w:szCs w:val="24"/>
          <w:lang w:val="en-US"/>
        </w:rPr>
        <w:t>Desk research and additional interviews</w:t>
      </w:r>
    </w:p>
    <w:p w14:paraId="01994A19" w14:textId="77777777" w:rsidR="008A0F4C" w:rsidRDefault="008A0F4C" w:rsidP="008A0F4C">
      <w:pPr>
        <w:numPr>
          <w:ilvl w:val="0"/>
          <w:numId w:val="3"/>
        </w:numPr>
        <w:autoSpaceDE w:val="0"/>
        <w:autoSpaceDN w:val="0"/>
        <w:spacing w:after="0" w:line="240" w:lineRule="auto"/>
        <w:contextualSpacing/>
        <w:rPr>
          <w:rFonts w:eastAsia="Times New Roman"/>
          <w:sz w:val="24"/>
          <w:szCs w:val="24"/>
          <w:lang w:val="en-US"/>
        </w:rPr>
      </w:pPr>
      <w:r>
        <w:rPr>
          <w:rFonts w:eastAsia="Times New Roman"/>
          <w:sz w:val="24"/>
          <w:szCs w:val="24"/>
          <w:lang w:val="en-US"/>
        </w:rPr>
        <w:t>Inventory: present competencies of children, parents, professionals</w:t>
      </w:r>
    </w:p>
    <w:p w14:paraId="70BC565A" w14:textId="77777777" w:rsidR="008A0F4C" w:rsidRDefault="008A0F4C" w:rsidP="008A0F4C">
      <w:pPr>
        <w:numPr>
          <w:ilvl w:val="1"/>
          <w:numId w:val="5"/>
        </w:numPr>
        <w:autoSpaceDE w:val="0"/>
        <w:autoSpaceDN w:val="0"/>
        <w:spacing w:after="0" w:line="240" w:lineRule="auto"/>
        <w:contextualSpacing/>
        <w:rPr>
          <w:rFonts w:eastAsia="Times New Roman"/>
          <w:sz w:val="24"/>
          <w:szCs w:val="24"/>
          <w:lang w:val="en-US"/>
        </w:rPr>
      </w:pPr>
      <w:r>
        <w:rPr>
          <w:rFonts w:eastAsia="Times New Roman"/>
          <w:sz w:val="24"/>
          <w:szCs w:val="24"/>
          <w:lang w:val="en-US"/>
        </w:rPr>
        <w:t>Activities with children and youngsters to investigate their digital skills and competencies.</w:t>
      </w:r>
    </w:p>
    <w:p w14:paraId="0449C086" w14:textId="77777777" w:rsidR="008A0F4C" w:rsidRDefault="008A0F4C" w:rsidP="008A0F4C">
      <w:pPr>
        <w:numPr>
          <w:ilvl w:val="1"/>
          <w:numId w:val="5"/>
        </w:numPr>
        <w:autoSpaceDE w:val="0"/>
        <w:autoSpaceDN w:val="0"/>
        <w:spacing w:after="0" w:line="240" w:lineRule="auto"/>
        <w:contextualSpacing/>
        <w:rPr>
          <w:rFonts w:eastAsia="Times New Roman"/>
          <w:sz w:val="24"/>
          <w:szCs w:val="24"/>
          <w:lang w:val="en-US"/>
        </w:rPr>
      </w:pPr>
      <w:r>
        <w:rPr>
          <w:rFonts w:eastAsia="Times New Roman"/>
          <w:sz w:val="24"/>
          <w:szCs w:val="24"/>
          <w:lang w:val="en-US"/>
        </w:rPr>
        <w:t xml:space="preserve">Activities with parents to investigate their questions, demands and their own digital skills and competencies. </w:t>
      </w:r>
    </w:p>
    <w:p w14:paraId="1C6B7D12" w14:textId="77777777" w:rsidR="008A0F4C" w:rsidRDefault="008A0F4C" w:rsidP="008A0F4C">
      <w:pPr>
        <w:numPr>
          <w:ilvl w:val="0"/>
          <w:numId w:val="3"/>
        </w:numPr>
        <w:autoSpaceDE w:val="0"/>
        <w:autoSpaceDN w:val="0"/>
        <w:spacing w:after="0" w:line="240" w:lineRule="auto"/>
        <w:contextualSpacing/>
        <w:rPr>
          <w:rFonts w:eastAsia="Times New Roman"/>
          <w:sz w:val="24"/>
          <w:szCs w:val="24"/>
          <w:lang w:val="en-US"/>
        </w:rPr>
      </w:pPr>
      <w:r>
        <w:rPr>
          <w:rFonts w:eastAsia="Times New Roman"/>
          <w:sz w:val="24"/>
          <w:szCs w:val="24"/>
          <w:lang w:val="en-US"/>
        </w:rPr>
        <w:t>Inventory: present competencies of educational, library and youthwork professionals</w:t>
      </w:r>
    </w:p>
    <w:p w14:paraId="62A9CB57" w14:textId="77777777" w:rsidR="008A0F4C" w:rsidRPr="008A0F4C" w:rsidRDefault="008A0F4C" w:rsidP="00402849">
      <w:pPr>
        <w:numPr>
          <w:ilvl w:val="1"/>
          <w:numId w:val="5"/>
        </w:numPr>
        <w:autoSpaceDE w:val="0"/>
        <w:autoSpaceDN w:val="0"/>
        <w:spacing w:after="0" w:line="240" w:lineRule="auto"/>
        <w:contextualSpacing/>
        <w:rPr>
          <w:sz w:val="24"/>
          <w:szCs w:val="24"/>
          <w:lang w:val="en-US"/>
        </w:rPr>
      </w:pPr>
      <w:r w:rsidRPr="008A0F4C">
        <w:rPr>
          <w:rFonts w:eastAsia="Times New Roman"/>
          <w:sz w:val="24"/>
          <w:szCs w:val="24"/>
          <w:lang w:val="en-US"/>
        </w:rPr>
        <w:t xml:space="preserve">Activities with professionals to investigate their questions, demands and their own digital skills and competencies. </w:t>
      </w:r>
    </w:p>
    <w:p w14:paraId="26EAC477" w14:textId="77777777" w:rsidR="008A0F4C" w:rsidRDefault="008A0F4C" w:rsidP="008A0F4C">
      <w:pPr>
        <w:numPr>
          <w:ilvl w:val="0"/>
          <w:numId w:val="3"/>
        </w:numPr>
        <w:autoSpaceDE w:val="0"/>
        <w:autoSpaceDN w:val="0"/>
        <w:spacing w:after="0" w:line="240" w:lineRule="auto"/>
        <w:contextualSpacing/>
        <w:rPr>
          <w:rFonts w:eastAsia="Times New Roman"/>
          <w:sz w:val="24"/>
          <w:szCs w:val="24"/>
          <w:lang w:val="en-US"/>
        </w:rPr>
      </w:pPr>
      <w:r>
        <w:rPr>
          <w:rFonts w:eastAsia="Times New Roman"/>
          <w:sz w:val="24"/>
          <w:szCs w:val="24"/>
          <w:lang w:val="en-US"/>
        </w:rPr>
        <w:t>Inventory of present urgent questions, “white spots” and “weaknesses”</w:t>
      </w:r>
    </w:p>
    <w:p w14:paraId="177FC660" w14:textId="77777777" w:rsidR="008A0F4C" w:rsidRDefault="008A0F4C" w:rsidP="008A0F4C">
      <w:pPr>
        <w:numPr>
          <w:ilvl w:val="1"/>
          <w:numId w:val="5"/>
        </w:numPr>
        <w:autoSpaceDE w:val="0"/>
        <w:autoSpaceDN w:val="0"/>
        <w:spacing w:after="0" w:line="240" w:lineRule="auto"/>
        <w:contextualSpacing/>
        <w:rPr>
          <w:rFonts w:eastAsia="Times New Roman"/>
          <w:sz w:val="24"/>
          <w:szCs w:val="24"/>
          <w:lang w:val="en-US"/>
        </w:rPr>
      </w:pPr>
      <w:r>
        <w:rPr>
          <w:rFonts w:eastAsia="Times New Roman"/>
          <w:sz w:val="24"/>
          <w:szCs w:val="24"/>
          <w:lang w:val="en-US"/>
        </w:rPr>
        <w:t>Conclusions based on interviews and activities</w:t>
      </w:r>
    </w:p>
    <w:p w14:paraId="1BEA0CBF" w14:textId="77777777" w:rsidR="003634E4" w:rsidRDefault="003634E4" w:rsidP="00E527CA">
      <w:pPr>
        <w:spacing w:after="0" w:line="240" w:lineRule="auto"/>
        <w:rPr>
          <w:b/>
          <w:sz w:val="24"/>
          <w:szCs w:val="24"/>
          <w:lang w:val="en-US"/>
        </w:rPr>
      </w:pPr>
    </w:p>
    <w:p w14:paraId="7CF7B3E1" w14:textId="77777777" w:rsidR="008A0F4C" w:rsidRPr="003634E4" w:rsidRDefault="003634E4" w:rsidP="00E527CA">
      <w:pPr>
        <w:spacing w:after="0" w:line="240" w:lineRule="auto"/>
        <w:rPr>
          <w:b/>
          <w:sz w:val="24"/>
          <w:szCs w:val="24"/>
          <w:lang w:val="en-US"/>
        </w:rPr>
      </w:pPr>
      <w:r w:rsidRPr="003634E4">
        <w:rPr>
          <w:b/>
          <w:sz w:val="24"/>
          <w:szCs w:val="24"/>
          <w:lang w:val="en-US"/>
        </w:rPr>
        <w:lastRenderedPageBreak/>
        <w:t>Content local action plan</w:t>
      </w:r>
      <w:r>
        <w:rPr>
          <w:b/>
          <w:sz w:val="24"/>
          <w:szCs w:val="24"/>
          <w:lang w:val="en-US"/>
        </w:rPr>
        <w:t>s</w:t>
      </w:r>
    </w:p>
    <w:p w14:paraId="45BCBD4B" w14:textId="77777777" w:rsidR="006C455B" w:rsidRDefault="006C455B" w:rsidP="00E527CA">
      <w:pPr>
        <w:spacing w:after="0" w:line="240" w:lineRule="auto"/>
        <w:rPr>
          <w:b/>
          <w:sz w:val="28"/>
          <w:szCs w:val="28"/>
          <w:lang w:val="en-US"/>
        </w:rPr>
      </w:pPr>
    </w:p>
    <w:p w14:paraId="74B6B824" w14:textId="0F076E79" w:rsidR="006C455B" w:rsidRDefault="003634E4" w:rsidP="003634E4">
      <w:pPr>
        <w:pStyle w:val="ListParagraph"/>
        <w:numPr>
          <w:ilvl w:val="0"/>
          <w:numId w:val="7"/>
        </w:numPr>
        <w:spacing w:after="0" w:line="240" w:lineRule="auto"/>
        <w:rPr>
          <w:lang w:val="en-US"/>
        </w:rPr>
      </w:pPr>
      <w:r w:rsidRPr="00A66132">
        <w:rPr>
          <w:lang w:val="en-US"/>
        </w:rPr>
        <w:t>Summary of COLIBLITE project + objectives</w:t>
      </w:r>
    </w:p>
    <w:p w14:paraId="2B25D493" w14:textId="409E831D" w:rsidR="00282439" w:rsidRDefault="00282439" w:rsidP="00282439">
      <w:pPr>
        <w:pStyle w:val="ListParagraph"/>
        <w:spacing w:after="0" w:line="240" w:lineRule="auto"/>
        <w:ind w:left="360"/>
        <w:rPr>
          <w:lang w:val="en-US"/>
        </w:rPr>
      </w:pPr>
    </w:p>
    <w:p w14:paraId="76E4E337" w14:textId="77777777" w:rsidR="00282439" w:rsidRPr="00334AE8" w:rsidRDefault="00282439" w:rsidP="00282439">
      <w:pPr>
        <w:pStyle w:val="ListParagraph"/>
        <w:spacing w:after="0" w:line="240" w:lineRule="auto"/>
        <w:ind w:left="360"/>
        <w:rPr>
          <w:color w:val="C45911" w:themeColor="accent2" w:themeShade="BF"/>
          <w:lang w:val="en-US"/>
        </w:rPr>
      </w:pPr>
      <w:r w:rsidRPr="00334AE8">
        <w:rPr>
          <w:color w:val="C45911" w:themeColor="accent2" w:themeShade="BF"/>
          <w:lang w:val="en-US"/>
        </w:rPr>
        <w:t xml:space="preserve">The COLIBLITE project aims to develop horizontal coordinated </w:t>
      </w:r>
      <w:proofErr w:type="spellStart"/>
      <w:r w:rsidRPr="00334AE8">
        <w:rPr>
          <w:color w:val="C45911" w:themeColor="accent2" w:themeShade="BF"/>
          <w:lang w:val="en-US"/>
        </w:rPr>
        <w:t>neighbourhood</w:t>
      </w:r>
      <w:proofErr w:type="spellEnd"/>
      <w:r w:rsidRPr="00334AE8">
        <w:rPr>
          <w:color w:val="C45911" w:themeColor="accent2" w:themeShade="BF"/>
          <w:lang w:val="en-US"/>
        </w:rPr>
        <w:t xml:space="preserve"> approaches, methodologies and actions involving schools, libraries, community </w:t>
      </w:r>
      <w:proofErr w:type="spellStart"/>
      <w:r w:rsidRPr="00334AE8">
        <w:rPr>
          <w:color w:val="C45911" w:themeColor="accent2" w:themeShade="BF"/>
          <w:lang w:val="en-US"/>
        </w:rPr>
        <w:t>organisations</w:t>
      </w:r>
      <w:proofErr w:type="spellEnd"/>
      <w:r w:rsidRPr="00334AE8">
        <w:rPr>
          <w:color w:val="C45911" w:themeColor="accent2" w:themeShade="BF"/>
          <w:lang w:val="en-US"/>
        </w:rPr>
        <w:t xml:space="preserve"> and parents. </w:t>
      </w:r>
    </w:p>
    <w:p w14:paraId="4994D1AF" w14:textId="77777777" w:rsidR="00282439" w:rsidRPr="00334AE8" w:rsidRDefault="00282439" w:rsidP="00282439">
      <w:pPr>
        <w:pStyle w:val="ListParagraph"/>
        <w:spacing w:after="0" w:line="240" w:lineRule="auto"/>
        <w:ind w:left="360"/>
        <w:rPr>
          <w:color w:val="C45911" w:themeColor="accent2" w:themeShade="BF"/>
          <w:lang w:val="en-US"/>
        </w:rPr>
      </w:pPr>
    </w:p>
    <w:p w14:paraId="1C18C81A" w14:textId="47106AA1" w:rsidR="00282439" w:rsidRPr="00334AE8" w:rsidRDefault="00282439" w:rsidP="00282439">
      <w:pPr>
        <w:pStyle w:val="ListParagraph"/>
        <w:spacing w:after="0" w:line="240" w:lineRule="auto"/>
        <w:ind w:left="360"/>
        <w:rPr>
          <w:color w:val="C45911" w:themeColor="accent2" w:themeShade="BF"/>
          <w:lang w:val="en-US"/>
        </w:rPr>
      </w:pPr>
      <w:r w:rsidRPr="00334AE8">
        <w:rPr>
          <w:color w:val="C45911" w:themeColor="accent2" w:themeShade="BF"/>
          <w:lang w:val="en-US"/>
        </w:rPr>
        <w:t>The children’s activities aim to promote and teach the necessary digital citizenship skills such as ICT skills, digital information and critical thinking skills.</w:t>
      </w:r>
    </w:p>
    <w:p w14:paraId="5BD787A4" w14:textId="767B80A8" w:rsidR="00282439" w:rsidRPr="00334AE8" w:rsidRDefault="00282439" w:rsidP="00282439">
      <w:pPr>
        <w:pStyle w:val="ListParagraph"/>
        <w:spacing w:after="0" w:line="240" w:lineRule="auto"/>
        <w:ind w:left="360"/>
        <w:rPr>
          <w:color w:val="C45911" w:themeColor="accent2" w:themeShade="BF"/>
          <w:lang w:val="en-US"/>
        </w:rPr>
      </w:pPr>
    </w:p>
    <w:p w14:paraId="7B03A450" w14:textId="144B7C78" w:rsidR="00282439" w:rsidRPr="00334AE8" w:rsidRDefault="00282439" w:rsidP="00282439">
      <w:pPr>
        <w:pStyle w:val="ListParagraph"/>
        <w:spacing w:after="0" w:line="240" w:lineRule="auto"/>
        <w:ind w:left="360"/>
        <w:rPr>
          <w:color w:val="C45911" w:themeColor="accent2" w:themeShade="BF"/>
          <w:lang w:val="en-US"/>
        </w:rPr>
      </w:pPr>
      <w:r w:rsidRPr="00334AE8">
        <w:rPr>
          <w:color w:val="C45911" w:themeColor="accent2" w:themeShade="BF"/>
          <w:lang w:val="en-US"/>
        </w:rPr>
        <w:t>Educators (teachers and librarians) will become more aware of practices and problems faced by children and youths in the digital world</w:t>
      </w:r>
      <w:proofErr w:type="gramStart"/>
      <w:r w:rsidRPr="00334AE8">
        <w:rPr>
          <w:color w:val="C45911" w:themeColor="accent2" w:themeShade="BF"/>
          <w:lang w:val="en-US"/>
        </w:rPr>
        <w:t xml:space="preserve">. </w:t>
      </w:r>
      <w:proofErr w:type="gramEnd"/>
      <w:r w:rsidRPr="00334AE8">
        <w:rPr>
          <w:color w:val="C45911" w:themeColor="accent2" w:themeShade="BF"/>
          <w:lang w:val="en-US"/>
        </w:rPr>
        <w:t xml:space="preserve">They will develop some skills to enable them to work to address them in their work settings, and in collaboration with other community partners. These skills will </w:t>
      </w:r>
      <w:r w:rsidR="00C16924" w:rsidRPr="00334AE8">
        <w:rPr>
          <w:color w:val="C45911" w:themeColor="accent2" w:themeShade="BF"/>
          <w:lang w:val="en-US"/>
        </w:rPr>
        <w:t xml:space="preserve">revolve around </w:t>
      </w:r>
      <w:r w:rsidRPr="00334AE8">
        <w:rPr>
          <w:color w:val="C45911" w:themeColor="accent2" w:themeShade="BF"/>
          <w:lang w:val="en-US"/>
        </w:rPr>
        <w:t>digital and citizenship competencies.</w:t>
      </w:r>
    </w:p>
    <w:p w14:paraId="4F2103E0" w14:textId="77777777" w:rsidR="00282439" w:rsidRPr="00A66132" w:rsidRDefault="00282439" w:rsidP="00282439">
      <w:pPr>
        <w:pStyle w:val="ListParagraph"/>
        <w:spacing w:after="0" w:line="240" w:lineRule="auto"/>
        <w:ind w:left="360"/>
        <w:rPr>
          <w:lang w:val="en-US"/>
        </w:rPr>
      </w:pPr>
    </w:p>
    <w:p w14:paraId="20C32B60" w14:textId="77777777" w:rsidR="003634E4" w:rsidRDefault="003634E4" w:rsidP="003634E4">
      <w:pPr>
        <w:pStyle w:val="ListParagraph"/>
        <w:numPr>
          <w:ilvl w:val="0"/>
          <w:numId w:val="7"/>
        </w:numPr>
        <w:spacing w:after="0" w:line="240" w:lineRule="auto"/>
        <w:rPr>
          <w:lang w:val="en-US"/>
        </w:rPr>
      </w:pPr>
      <w:r w:rsidRPr="00A66132">
        <w:rPr>
          <w:lang w:val="en-US"/>
        </w:rPr>
        <w:t xml:space="preserve">Findings in step 1 </w:t>
      </w:r>
      <w:r w:rsidR="00A66132" w:rsidRPr="00A66132">
        <w:rPr>
          <w:lang w:val="en-US"/>
        </w:rPr>
        <w:t>–</w:t>
      </w:r>
      <w:r w:rsidRPr="00A66132">
        <w:rPr>
          <w:lang w:val="en-US"/>
        </w:rPr>
        <w:t xml:space="preserve"> 4</w:t>
      </w:r>
      <w:r w:rsidR="00A66132" w:rsidRPr="00A66132">
        <w:rPr>
          <w:lang w:val="en-US"/>
        </w:rPr>
        <w:t xml:space="preserve"> concerning</w:t>
      </w:r>
      <w:r w:rsidR="00A66132">
        <w:rPr>
          <w:lang w:val="en-US"/>
        </w:rPr>
        <w:t>:</w:t>
      </w:r>
    </w:p>
    <w:p w14:paraId="7A63C3BC" w14:textId="77777777" w:rsidR="00A66132" w:rsidRDefault="00A66132" w:rsidP="00A66132">
      <w:pPr>
        <w:pStyle w:val="ListParagraph"/>
        <w:numPr>
          <w:ilvl w:val="1"/>
          <w:numId w:val="7"/>
        </w:numPr>
        <w:spacing w:after="0" w:line="240" w:lineRule="auto"/>
        <w:rPr>
          <w:lang w:val="en-US"/>
        </w:rPr>
      </w:pPr>
      <w:r>
        <w:rPr>
          <w:lang w:val="en-US"/>
        </w:rPr>
        <w:t>Demographic picture of the neighborhood</w:t>
      </w:r>
    </w:p>
    <w:p w14:paraId="6058F689" w14:textId="77777777" w:rsidR="005A3481" w:rsidRDefault="005A3481" w:rsidP="00A66132">
      <w:pPr>
        <w:pStyle w:val="ListParagraph"/>
        <w:numPr>
          <w:ilvl w:val="1"/>
          <w:numId w:val="7"/>
        </w:numPr>
        <w:spacing w:after="0" w:line="240" w:lineRule="auto"/>
        <w:rPr>
          <w:lang w:val="en-US"/>
        </w:rPr>
      </w:pPr>
      <w:r>
        <w:rPr>
          <w:lang w:val="en-US"/>
        </w:rPr>
        <w:t>Relevant national and local developments</w:t>
      </w:r>
    </w:p>
    <w:p w14:paraId="4FF6CDB2" w14:textId="77777777" w:rsidR="00A66132" w:rsidRDefault="00A66132" w:rsidP="00A66132">
      <w:pPr>
        <w:pStyle w:val="ListParagraph"/>
        <w:numPr>
          <w:ilvl w:val="1"/>
          <w:numId w:val="7"/>
        </w:numPr>
        <w:spacing w:after="0" w:line="240" w:lineRule="auto"/>
        <w:rPr>
          <w:lang w:val="en-US"/>
        </w:rPr>
      </w:pPr>
      <w:r>
        <w:rPr>
          <w:lang w:val="en-US"/>
        </w:rPr>
        <w:t>Digital citizenship policies of partners</w:t>
      </w:r>
    </w:p>
    <w:p w14:paraId="4A3DFD08" w14:textId="77777777" w:rsidR="00A66132" w:rsidRDefault="00A66132" w:rsidP="00A66132">
      <w:pPr>
        <w:pStyle w:val="ListParagraph"/>
        <w:numPr>
          <w:ilvl w:val="1"/>
          <w:numId w:val="7"/>
        </w:numPr>
        <w:spacing w:after="0" w:line="240" w:lineRule="auto"/>
        <w:rPr>
          <w:lang w:val="en-US"/>
        </w:rPr>
      </w:pPr>
      <w:r>
        <w:rPr>
          <w:lang w:val="en-US"/>
        </w:rPr>
        <w:t>Possible additional partners</w:t>
      </w:r>
    </w:p>
    <w:p w14:paraId="4720EDCE" w14:textId="77777777" w:rsidR="00A66132" w:rsidRDefault="00A66132" w:rsidP="00A66132">
      <w:pPr>
        <w:pStyle w:val="ListParagraph"/>
        <w:numPr>
          <w:ilvl w:val="1"/>
          <w:numId w:val="7"/>
        </w:numPr>
        <w:spacing w:after="0" w:line="240" w:lineRule="auto"/>
        <w:rPr>
          <w:lang w:val="en-US"/>
        </w:rPr>
      </w:pPr>
      <w:r>
        <w:rPr>
          <w:lang w:val="en-US"/>
        </w:rPr>
        <w:t>Digital citizenship policies and programs in schools</w:t>
      </w:r>
    </w:p>
    <w:p w14:paraId="554FBFC4" w14:textId="77777777" w:rsidR="00A66132" w:rsidRDefault="00A66132" w:rsidP="00A66132">
      <w:pPr>
        <w:pStyle w:val="ListParagraph"/>
        <w:numPr>
          <w:ilvl w:val="1"/>
          <w:numId w:val="7"/>
        </w:numPr>
        <w:spacing w:after="0" w:line="240" w:lineRule="auto"/>
        <w:rPr>
          <w:lang w:val="en-US"/>
        </w:rPr>
      </w:pPr>
      <w:r>
        <w:rPr>
          <w:lang w:val="en-US"/>
        </w:rPr>
        <w:t>Existing horizontal cooperation’s</w:t>
      </w:r>
    </w:p>
    <w:p w14:paraId="6F7CAA6D" w14:textId="77777777" w:rsidR="00A66132" w:rsidRDefault="00A66132" w:rsidP="00A66132">
      <w:pPr>
        <w:pStyle w:val="ListParagraph"/>
        <w:numPr>
          <w:ilvl w:val="1"/>
          <w:numId w:val="7"/>
        </w:numPr>
        <w:spacing w:after="0" w:line="240" w:lineRule="auto"/>
        <w:rPr>
          <w:lang w:val="en-US"/>
        </w:rPr>
      </w:pPr>
      <w:r>
        <w:rPr>
          <w:lang w:val="en-US"/>
        </w:rPr>
        <w:t>Digital literacy competences professionals, children and youngsters</w:t>
      </w:r>
    </w:p>
    <w:p w14:paraId="1CA30AD7" w14:textId="313401D7" w:rsidR="00A66132" w:rsidRDefault="00A66132" w:rsidP="00A66132">
      <w:pPr>
        <w:pStyle w:val="ListParagraph"/>
        <w:numPr>
          <w:ilvl w:val="1"/>
          <w:numId w:val="7"/>
        </w:numPr>
        <w:spacing w:after="0" w:line="240" w:lineRule="auto"/>
        <w:rPr>
          <w:lang w:val="en-US"/>
        </w:rPr>
      </w:pPr>
      <w:r>
        <w:rPr>
          <w:lang w:val="en-US"/>
        </w:rPr>
        <w:t>Needs and demands of local partners concerning support and training</w:t>
      </w:r>
    </w:p>
    <w:p w14:paraId="6109C7D8" w14:textId="77777777" w:rsidR="00CF24D8" w:rsidRDefault="00CF24D8" w:rsidP="00CF24D8">
      <w:pPr>
        <w:spacing w:after="0" w:line="240" w:lineRule="auto"/>
        <w:ind w:left="360"/>
        <w:rPr>
          <w:lang w:val="en-US"/>
        </w:rPr>
      </w:pPr>
    </w:p>
    <w:p w14:paraId="33376222" w14:textId="6FCBBF48" w:rsidR="00CF24D8" w:rsidRPr="00334AE8" w:rsidRDefault="00CF24D8" w:rsidP="00CF24D8">
      <w:pPr>
        <w:spacing w:after="0" w:line="240" w:lineRule="auto"/>
        <w:ind w:left="360"/>
        <w:rPr>
          <w:color w:val="C45911" w:themeColor="accent2" w:themeShade="BF"/>
          <w:lang w:val="en-US"/>
        </w:rPr>
      </w:pPr>
      <w:r w:rsidRPr="00334AE8">
        <w:rPr>
          <w:color w:val="C45911" w:themeColor="accent2" w:themeShade="BF"/>
          <w:lang w:val="en-US"/>
        </w:rPr>
        <w:t xml:space="preserve">A picture of the national and local context with regards to digital citizenship skills and competencies has been developed and put together in the UK National Report. The report looks at the different roles of schools, libraries, other </w:t>
      </w:r>
      <w:proofErr w:type="spellStart"/>
      <w:r w:rsidRPr="00334AE8">
        <w:rPr>
          <w:color w:val="C45911" w:themeColor="accent2" w:themeShade="BF"/>
          <w:lang w:val="en-US"/>
        </w:rPr>
        <w:t>organisations</w:t>
      </w:r>
      <w:proofErr w:type="spellEnd"/>
      <w:r w:rsidRPr="00334AE8">
        <w:rPr>
          <w:color w:val="C45911" w:themeColor="accent2" w:themeShade="BF"/>
          <w:lang w:val="en-US"/>
        </w:rPr>
        <w:t xml:space="preserve"> and government in shaping digital citizenship skills and tries to identify some of the gaps.</w:t>
      </w:r>
      <w:r w:rsidR="000F7529" w:rsidRPr="00334AE8">
        <w:rPr>
          <w:color w:val="C45911" w:themeColor="accent2" w:themeShade="BF"/>
          <w:lang w:val="en-US"/>
        </w:rPr>
        <w:t xml:space="preserve"> Please refer to the COLIBLITE’s UK National Report for more detail.</w:t>
      </w:r>
    </w:p>
    <w:p w14:paraId="4D822225" w14:textId="77777777" w:rsidR="00CF24D8" w:rsidRPr="00CF24D8" w:rsidRDefault="00CF24D8" w:rsidP="00CF24D8">
      <w:pPr>
        <w:spacing w:after="0" w:line="240" w:lineRule="auto"/>
        <w:rPr>
          <w:lang w:val="en-US"/>
        </w:rPr>
      </w:pPr>
    </w:p>
    <w:p w14:paraId="35E39BAB" w14:textId="2AD7C63A" w:rsidR="006C455B" w:rsidRDefault="00A66132" w:rsidP="00A66132">
      <w:pPr>
        <w:pStyle w:val="ListParagraph"/>
        <w:numPr>
          <w:ilvl w:val="0"/>
          <w:numId w:val="7"/>
        </w:numPr>
        <w:spacing w:after="0" w:line="240" w:lineRule="auto"/>
        <w:rPr>
          <w:lang w:val="en-US"/>
        </w:rPr>
      </w:pPr>
      <w:r>
        <w:rPr>
          <w:lang w:val="en-US"/>
        </w:rPr>
        <w:t>Terminologies</w:t>
      </w:r>
    </w:p>
    <w:p w14:paraId="32DC680D" w14:textId="15684453" w:rsidR="00FB3847" w:rsidRPr="00334AE8" w:rsidRDefault="00FB3847" w:rsidP="00FB3847">
      <w:pPr>
        <w:spacing w:after="0" w:line="240" w:lineRule="auto"/>
        <w:rPr>
          <w:color w:val="C45911" w:themeColor="accent2" w:themeShade="BF"/>
          <w:lang w:val="en-US"/>
        </w:rPr>
      </w:pPr>
    </w:p>
    <w:p w14:paraId="5C11E3B1" w14:textId="0E74C682" w:rsidR="00FB3847" w:rsidRPr="00334AE8" w:rsidRDefault="00FB3847" w:rsidP="00FB3847">
      <w:pPr>
        <w:spacing w:after="0" w:line="240" w:lineRule="auto"/>
        <w:ind w:left="360"/>
        <w:rPr>
          <w:color w:val="C45911" w:themeColor="accent2" w:themeShade="BF"/>
          <w:lang w:val="en-US"/>
        </w:rPr>
      </w:pPr>
      <w:r w:rsidRPr="00334AE8">
        <w:rPr>
          <w:color w:val="C45911" w:themeColor="accent2" w:themeShade="BF"/>
          <w:lang w:val="en-US"/>
        </w:rPr>
        <w:t xml:space="preserve">Definitions of ‘digital citizenship’ </w:t>
      </w:r>
      <w:r w:rsidR="003C067F" w:rsidRPr="00334AE8">
        <w:rPr>
          <w:color w:val="C45911" w:themeColor="accent2" w:themeShade="BF"/>
          <w:lang w:val="en-US"/>
        </w:rPr>
        <w:t xml:space="preserve">as adopted and applied by different actors in the neighborhood are discussed in the COLIBLITE UK National Report. Throughout the course of our investigations we have come to agree that the term ‘digital citizenship’ is </w:t>
      </w:r>
      <w:r w:rsidR="00386ED1" w:rsidRPr="00334AE8">
        <w:rPr>
          <w:color w:val="C45911" w:themeColor="accent2" w:themeShade="BF"/>
          <w:lang w:val="en-US"/>
        </w:rPr>
        <w:t xml:space="preserve">still </w:t>
      </w:r>
      <w:r w:rsidR="003C067F" w:rsidRPr="00334AE8">
        <w:rPr>
          <w:color w:val="C45911" w:themeColor="accent2" w:themeShade="BF"/>
          <w:lang w:val="en-US"/>
        </w:rPr>
        <w:t xml:space="preserve">too broad </w:t>
      </w:r>
      <w:r w:rsidR="00386ED1" w:rsidRPr="00334AE8">
        <w:rPr>
          <w:color w:val="C45911" w:themeColor="accent2" w:themeShade="BF"/>
          <w:lang w:val="en-US"/>
        </w:rPr>
        <w:t>to be understood comprehensively</w:t>
      </w:r>
      <w:r w:rsidR="00751F4E" w:rsidRPr="00334AE8">
        <w:rPr>
          <w:color w:val="C45911" w:themeColor="accent2" w:themeShade="BF"/>
          <w:lang w:val="en-US"/>
        </w:rPr>
        <w:t xml:space="preserve"> by the general </w:t>
      </w:r>
      <w:proofErr w:type="gramStart"/>
      <w:r w:rsidR="00751F4E" w:rsidRPr="00334AE8">
        <w:rPr>
          <w:color w:val="C45911" w:themeColor="accent2" w:themeShade="BF"/>
          <w:lang w:val="en-US"/>
        </w:rPr>
        <w:t>public</w:t>
      </w:r>
      <w:r w:rsidR="00386ED1" w:rsidRPr="00334AE8">
        <w:rPr>
          <w:color w:val="C45911" w:themeColor="accent2" w:themeShade="BF"/>
          <w:lang w:val="en-US"/>
        </w:rPr>
        <w:t xml:space="preserve">, </w:t>
      </w:r>
      <w:r w:rsidR="003C067F" w:rsidRPr="00334AE8">
        <w:rPr>
          <w:color w:val="C45911" w:themeColor="accent2" w:themeShade="BF"/>
          <w:lang w:val="en-US"/>
        </w:rPr>
        <w:t>and</w:t>
      </w:r>
      <w:proofErr w:type="gramEnd"/>
      <w:r w:rsidR="003C067F" w:rsidRPr="00334AE8">
        <w:rPr>
          <w:color w:val="C45911" w:themeColor="accent2" w:themeShade="BF"/>
          <w:lang w:val="en-US"/>
        </w:rPr>
        <w:t xml:space="preserve"> </w:t>
      </w:r>
      <w:r w:rsidR="00386ED1" w:rsidRPr="00334AE8">
        <w:rPr>
          <w:color w:val="C45911" w:themeColor="accent2" w:themeShade="BF"/>
          <w:lang w:val="en-US"/>
        </w:rPr>
        <w:t>can lead to some confusion</w:t>
      </w:r>
      <w:r w:rsidR="003C067F" w:rsidRPr="00334AE8">
        <w:rPr>
          <w:color w:val="C45911" w:themeColor="accent2" w:themeShade="BF"/>
          <w:lang w:val="en-US"/>
        </w:rPr>
        <w:t xml:space="preserve">. </w:t>
      </w:r>
      <w:r w:rsidR="00386ED1" w:rsidRPr="00334AE8">
        <w:rPr>
          <w:color w:val="C45911" w:themeColor="accent2" w:themeShade="BF"/>
          <w:lang w:val="en-US"/>
        </w:rPr>
        <w:t>Since the project is also creating new forms of dialogue about the topic of digital citizenship, t</w:t>
      </w:r>
      <w:r w:rsidR="003C067F" w:rsidRPr="00334AE8">
        <w:rPr>
          <w:color w:val="C45911" w:themeColor="accent2" w:themeShade="BF"/>
          <w:lang w:val="en-US"/>
        </w:rPr>
        <w:t xml:space="preserve">his local action plan proposes that the term </w:t>
      </w:r>
      <w:r w:rsidR="00751F4E" w:rsidRPr="00334AE8">
        <w:rPr>
          <w:color w:val="C45911" w:themeColor="accent2" w:themeShade="BF"/>
          <w:lang w:val="en-US"/>
        </w:rPr>
        <w:t xml:space="preserve">shall </w:t>
      </w:r>
      <w:r w:rsidR="003C067F" w:rsidRPr="00334AE8">
        <w:rPr>
          <w:color w:val="C45911" w:themeColor="accent2" w:themeShade="BF"/>
          <w:lang w:val="en-US"/>
        </w:rPr>
        <w:t>be broken down into more</w:t>
      </w:r>
      <w:bookmarkStart w:id="0" w:name="_GoBack"/>
      <w:bookmarkEnd w:id="0"/>
      <w:r w:rsidR="003C067F" w:rsidRPr="00334AE8">
        <w:rPr>
          <w:color w:val="C45911" w:themeColor="accent2" w:themeShade="BF"/>
          <w:lang w:val="en-US"/>
        </w:rPr>
        <w:t xml:space="preserve"> specific themes </w:t>
      </w:r>
      <w:r w:rsidR="00A14226" w:rsidRPr="00334AE8">
        <w:rPr>
          <w:color w:val="C45911" w:themeColor="accent2" w:themeShade="BF"/>
          <w:lang w:val="en-US"/>
        </w:rPr>
        <w:t xml:space="preserve">such as </w:t>
      </w:r>
      <w:r w:rsidR="00386ED1" w:rsidRPr="00334AE8">
        <w:rPr>
          <w:color w:val="C45911" w:themeColor="accent2" w:themeShade="BF"/>
          <w:lang w:val="en-US"/>
        </w:rPr>
        <w:t xml:space="preserve">during </w:t>
      </w:r>
      <w:r w:rsidR="003C067F" w:rsidRPr="00334AE8">
        <w:rPr>
          <w:color w:val="C45911" w:themeColor="accent2" w:themeShade="BF"/>
          <w:lang w:val="en-US"/>
        </w:rPr>
        <w:t>the training.</w:t>
      </w:r>
    </w:p>
    <w:p w14:paraId="2C704FAF" w14:textId="77777777" w:rsidR="00FB3847" w:rsidRPr="00FB3847" w:rsidRDefault="00FB3847" w:rsidP="00FB3847">
      <w:pPr>
        <w:spacing w:after="0" w:line="240" w:lineRule="auto"/>
        <w:ind w:left="360"/>
        <w:rPr>
          <w:lang w:val="en-US"/>
        </w:rPr>
      </w:pPr>
    </w:p>
    <w:p w14:paraId="77D7C67C" w14:textId="6177EDD0" w:rsidR="00A66132" w:rsidRDefault="00A66132" w:rsidP="00A66132">
      <w:pPr>
        <w:pStyle w:val="ListParagraph"/>
        <w:numPr>
          <w:ilvl w:val="0"/>
          <w:numId w:val="7"/>
        </w:numPr>
        <w:spacing w:after="0" w:line="240" w:lineRule="auto"/>
        <w:rPr>
          <w:lang w:val="en-US"/>
        </w:rPr>
      </w:pPr>
      <w:r>
        <w:rPr>
          <w:lang w:val="en-US"/>
        </w:rPr>
        <w:t xml:space="preserve">Existing competence schemes </w:t>
      </w:r>
      <w:r w:rsidR="00804C09">
        <w:rPr>
          <w:lang w:val="en-US"/>
        </w:rPr>
        <w:t xml:space="preserve">which will </w:t>
      </w:r>
      <w:r>
        <w:rPr>
          <w:lang w:val="en-US"/>
        </w:rPr>
        <w:t xml:space="preserve">be used as base for </w:t>
      </w:r>
      <w:r w:rsidR="00804C09">
        <w:rPr>
          <w:lang w:val="en-US"/>
        </w:rPr>
        <w:t xml:space="preserve">local </w:t>
      </w:r>
      <w:r>
        <w:rPr>
          <w:lang w:val="en-US"/>
        </w:rPr>
        <w:t>training and school programs</w:t>
      </w:r>
      <w:r w:rsidR="006C1773">
        <w:rPr>
          <w:lang w:val="en-US"/>
        </w:rPr>
        <w:t xml:space="preserve"> (see attachment </w:t>
      </w:r>
      <w:proofErr w:type="spellStart"/>
      <w:r w:rsidR="006C1773">
        <w:rPr>
          <w:lang w:val="en-US"/>
        </w:rPr>
        <w:t>Digicomp</w:t>
      </w:r>
      <w:proofErr w:type="spellEnd"/>
      <w:r w:rsidR="006C1773">
        <w:rPr>
          <w:lang w:val="en-US"/>
        </w:rPr>
        <w:t>)</w:t>
      </w:r>
    </w:p>
    <w:p w14:paraId="50EB33FB" w14:textId="237DAF85" w:rsidR="003B259B" w:rsidRPr="00334AE8" w:rsidRDefault="003B259B" w:rsidP="003B259B">
      <w:pPr>
        <w:spacing w:after="0" w:line="240" w:lineRule="auto"/>
        <w:ind w:left="360"/>
        <w:rPr>
          <w:color w:val="C45911" w:themeColor="accent2" w:themeShade="BF"/>
          <w:lang w:val="en-US"/>
        </w:rPr>
      </w:pPr>
      <w:r w:rsidRPr="00334AE8">
        <w:rPr>
          <w:color w:val="C45911" w:themeColor="accent2" w:themeShade="BF"/>
          <w:lang w:val="en-US"/>
        </w:rPr>
        <w:t>We have looked at several existing competence schemes. The ones that have influenced the development of our action plan the most are:</w:t>
      </w:r>
    </w:p>
    <w:p w14:paraId="27C34BB9" w14:textId="3A3FC2AC" w:rsidR="003B259B" w:rsidRDefault="003B259B" w:rsidP="003B259B">
      <w:pPr>
        <w:pStyle w:val="ListParagraph"/>
        <w:numPr>
          <w:ilvl w:val="0"/>
          <w:numId w:val="13"/>
        </w:numPr>
        <w:spacing w:after="0" w:line="240" w:lineRule="auto"/>
        <w:rPr>
          <w:lang w:val="en-US"/>
        </w:rPr>
      </w:pPr>
      <w:hyperlink r:id="rId12" w:history="1">
        <w:r w:rsidRPr="003B259B">
          <w:rPr>
            <w:rStyle w:val="Hyperlink"/>
            <w:lang w:val="en-US"/>
          </w:rPr>
          <w:t xml:space="preserve">The </w:t>
        </w:r>
        <w:r>
          <w:rPr>
            <w:rStyle w:val="Hyperlink"/>
            <w:lang w:val="en-US"/>
          </w:rPr>
          <w:t xml:space="preserve">UK </w:t>
        </w:r>
        <w:r w:rsidRPr="003B259B">
          <w:rPr>
            <w:rStyle w:val="Hyperlink"/>
            <w:lang w:val="en-US"/>
          </w:rPr>
          <w:t>Essential Digital Skills Framework</w:t>
        </w:r>
      </w:hyperlink>
    </w:p>
    <w:p w14:paraId="7366F1B4" w14:textId="2B3775A8" w:rsidR="003B259B" w:rsidRDefault="003B259B" w:rsidP="003B259B">
      <w:pPr>
        <w:pStyle w:val="ListParagraph"/>
        <w:numPr>
          <w:ilvl w:val="0"/>
          <w:numId w:val="13"/>
        </w:numPr>
        <w:spacing w:after="0" w:line="240" w:lineRule="auto"/>
        <w:rPr>
          <w:lang w:val="en-US"/>
        </w:rPr>
      </w:pPr>
      <w:hyperlink r:id="rId13" w:history="1">
        <w:r>
          <w:rPr>
            <w:rStyle w:val="Hyperlink"/>
            <w:lang w:val="en-US"/>
          </w:rPr>
          <w:t xml:space="preserve">The </w:t>
        </w:r>
        <w:proofErr w:type="spellStart"/>
        <w:r>
          <w:rPr>
            <w:rStyle w:val="Hyperlink"/>
            <w:lang w:val="en-US"/>
          </w:rPr>
          <w:t>Dig</w:t>
        </w:r>
        <w:r w:rsidRPr="003B259B">
          <w:rPr>
            <w:rStyle w:val="Hyperlink"/>
            <w:lang w:val="en-US"/>
          </w:rPr>
          <w:t>Comp</w:t>
        </w:r>
        <w:proofErr w:type="spellEnd"/>
        <w:r w:rsidRPr="003B259B">
          <w:rPr>
            <w:rStyle w:val="Hyperlink"/>
            <w:lang w:val="en-US"/>
          </w:rPr>
          <w:t xml:space="preserve"> – </w:t>
        </w:r>
        <w:r>
          <w:rPr>
            <w:rStyle w:val="Hyperlink"/>
            <w:lang w:val="en-US"/>
          </w:rPr>
          <w:t xml:space="preserve">European </w:t>
        </w:r>
        <w:r w:rsidRPr="003B259B">
          <w:rPr>
            <w:rStyle w:val="Hyperlink"/>
            <w:lang w:val="en-US"/>
          </w:rPr>
          <w:t>Digital Competence Framework</w:t>
        </w:r>
      </w:hyperlink>
    </w:p>
    <w:p w14:paraId="757D6802" w14:textId="4365F66D" w:rsidR="003B259B" w:rsidRDefault="003B259B" w:rsidP="003B259B">
      <w:pPr>
        <w:spacing w:after="0" w:line="240" w:lineRule="auto"/>
        <w:rPr>
          <w:lang w:val="en-US"/>
        </w:rPr>
      </w:pPr>
    </w:p>
    <w:p w14:paraId="39AB9A8D" w14:textId="64554460" w:rsidR="003B259B" w:rsidRPr="00334AE8" w:rsidRDefault="003B259B" w:rsidP="003B259B">
      <w:pPr>
        <w:spacing w:after="0" w:line="240" w:lineRule="auto"/>
        <w:rPr>
          <w:color w:val="C45911" w:themeColor="accent2" w:themeShade="BF"/>
          <w:lang w:val="en-US"/>
        </w:rPr>
      </w:pPr>
      <w:r w:rsidRPr="00334AE8">
        <w:rPr>
          <w:color w:val="C45911" w:themeColor="accent2" w:themeShade="BF"/>
          <w:lang w:val="en-US"/>
        </w:rPr>
        <w:t>The following tools have informed the development of our training and action plan:</w:t>
      </w:r>
    </w:p>
    <w:p w14:paraId="09A96F86" w14:textId="1432A1FF" w:rsidR="003B259B" w:rsidRPr="003B259B" w:rsidRDefault="003B259B" w:rsidP="003B259B">
      <w:pPr>
        <w:pStyle w:val="ListParagraph"/>
        <w:numPr>
          <w:ilvl w:val="0"/>
          <w:numId w:val="13"/>
        </w:numPr>
        <w:spacing w:after="0" w:line="240" w:lineRule="auto"/>
        <w:rPr>
          <w:lang w:val="en-US"/>
        </w:rPr>
      </w:pPr>
      <w:hyperlink r:id="rId14" w:history="1">
        <w:r w:rsidRPr="003B259B">
          <w:rPr>
            <w:rStyle w:val="Hyperlink"/>
            <w:lang w:val="en-US"/>
          </w:rPr>
          <w:t>The Digital Competency Wheel</w:t>
        </w:r>
      </w:hyperlink>
    </w:p>
    <w:p w14:paraId="2FBDFEB6" w14:textId="77777777" w:rsidR="003B259B" w:rsidRPr="003B259B" w:rsidRDefault="003B259B" w:rsidP="003B259B">
      <w:pPr>
        <w:spacing w:after="0" w:line="240" w:lineRule="auto"/>
        <w:rPr>
          <w:lang w:val="en-US"/>
        </w:rPr>
      </w:pPr>
    </w:p>
    <w:p w14:paraId="2BE67B4F" w14:textId="391C9D5B" w:rsidR="00A66132" w:rsidRDefault="00804C09" w:rsidP="00A66132">
      <w:pPr>
        <w:pStyle w:val="ListParagraph"/>
        <w:numPr>
          <w:ilvl w:val="0"/>
          <w:numId w:val="7"/>
        </w:numPr>
        <w:spacing w:after="0" w:line="240" w:lineRule="auto"/>
        <w:rPr>
          <w:lang w:val="en-US"/>
        </w:rPr>
      </w:pPr>
      <w:r>
        <w:rPr>
          <w:lang w:val="en-US"/>
        </w:rPr>
        <w:lastRenderedPageBreak/>
        <w:t>Planned results</w:t>
      </w:r>
    </w:p>
    <w:p w14:paraId="19CD7CFC" w14:textId="4467B39F" w:rsidR="00BE243F" w:rsidRDefault="00BE243F" w:rsidP="00BE243F">
      <w:pPr>
        <w:spacing w:after="0" w:line="240" w:lineRule="auto"/>
        <w:rPr>
          <w:lang w:val="en-US"/>
        </w:rPr>
      </w:pPr>
    </w:p>
    <w:p w14:paraId="5962C05D" w14:textId="16E8B27B" w:rsidR="00BE243F" w:rsidRPr="00BD1437" w:rsidRDefault="00BE243F" w:rsidP="00BE243F">
      <w:pPr>
        <w:spacing w:after="0" w:line="240" w:lineRule="auto"/>
        <w:ind w:left="360"/>
        <w:rPr>
          <w:color w:val="C45911" w:themeColor="accent2" w:themeShade="BF"/>
          <w:lang w:val="en-US"/>
        </w:rPr>
      </w:pPr>
      <w:r w:rsidRPr="00BD1437">
        <w:rPr>
          <w:color w:val="C45911" w:themeColor="accent2" w:themeShade="BF"/>
          <w:lang w:val="en-US"/>
        </w:rPr>
        <w:t>The activities of the COLIBLITE project aim to improve the digital competencies and digital citizenship skills of children, youths, parents, educators and librarians.</w:t>
      </w:r>
    </w:p>
    <w:p w14:paraId="7813CD81" w14:textId="2ABFD03D" w:rsidR="00BE243F" w:rsidRPr="00BD1437" w:rsidRDefault="00BE243F" w:rsidP="00BE243F">
      <w:pPr>
        <w:spacing w:after="0" w:line="240" w:lineRule="auto"/>
        <w:ind w:left="360"/>
        <w:rPr>
          <w:color w:val="C45911" w:themeColor="accent2" w:themeShade="BF"/>
          <w:lang w:val="en-US"/>
        </w:rPr>
      </w:pPr>
    </w:p>
    <w:p w14:paraId="074AAC6B" w14:textId="1F055E9D" w:rsidR="00BE243F" w:rsidRPr="00BD1437" w:rsidRDefault="00BE243F" w:rsidP="00BE243F">
      <w:pPr>
        <w:spacing w:after="0" w:line="240" w:lineRule="auto"/>
        <w:ind w:left="360"/>
        <w:rPr>
          <w:color w:val="C45911" w:themeColor="accent2" w:themeShade="BF"/>
          <w:lang w:val="en-US"/>
        </w:rPr>
      </w:pPr>
      <w:r w:rsidRPr="00BD1437">
        <w:rPr>
          <w:color w:val="C45911" w:themeColor="accent2" w:themeShade="BF"/>
          <w:lang w:val="en-US"/>
        </w:rPr>
        <w:t xml:space="preserve">We have developed more specific learning objectives for each training </w:t>
      </w:r>
      <w:proofErr w:type="spellStart"/>
      <w:r w:rsidRPr="00BD1437">
        <w:rPr>
          <w:color w:val="C45911" w:themeColor="accent2" w:themeShade="BF"/>
          <w:lang w:val="en-US"/>
        </w:rPr>
        <w:t>programme</w:t>
      </w:r>
      <w:proofErr w:type="spellEnd"/>
      <w:r w:rsidRPr="00BD1437">
        <w:rPr>
          <w:color w:val="C45911" w:themeColor="accent2" w:themeShade="BF"/>
          <w:lang w:val="en-US"/>
        </w:rPr>
        <w:t>, which we will monitor to evaluate the impact.</w:t>
      </w:r>
    </w:p>
    <w:p w14:paraId="45BEFC9F" w14:textId="77777777" w:rsidR="00BE243F" w:rsidRPr="00BE243F" w:rsidRDefault="00BE243F" w:rsidP="00BE243F">
      <w:pPr>
        <w:spacing w:after="0" w:line="240" w:lineRule="auto"/>
        <w:rPr>
          <w:lang w:val="en-US"/>
        </w:rPr>
      </w:pPr>
    </w:p>
    <w:p w14:paraId="44154DB5" w14:textId="77777777" w:rsidR="00804C09" w:rsidRDefault="00804C09" w:rsidP="00804C09">
      <w:pPr>
        <w:pStyle w:val="ListParagraph"/>
        <w:numPr>
          <w:ilvl w:val="0"/>
          <w:numId w:val="7"/>
        </w:numPr>
        <w:spacing w:after="0" w:line="240" w:lineRule="auto"/>
        <w:rPr>
          <w:lang w:val="en-US"/>
        </w:rPr>
      </w:pPr>
      <w:r>
        <w:rPr>
          <w:lang w:val="en-US"/>
        </w:rPr>
        <w:t>Organizational structure:</w:t>
      </w:r>
    </w:p>
    <w:p w14:paraId="0052E197" w14:textId="77777777" w:rsidR="00804C09" w:rsidRDefault="00804C09" w:rsidP="00804C09">
      <w:pPr>
        <w:pStyle w:val="ListParagraph"/>
        <w:numPr>
          <w:ilvl w:val="0"/>
          <w:numId w:val="9"/>
        </w:numPr>
        <w:spacing w:after="0" w:line="240" w:lineRule="auto"/>
        <w:rPr>
          <w:lang w:val="en-US"/>
        </w:rPr>
      </w:pPr>
      <w:r>
        <w:rPr>
          <w:lang w:val="en-US"/>
        </w:rPr>
        <w:t>Management committee: members, frequency, role and responsibilities</w:t>
      </w:r>
    </w:p>
    <w:p w14:paraId="06A50040" w14:textId="77777777" w:rsidR="00804C09" w:rsidRDefault="00804C09" w:rsidP="00804C09">
      <w:pPr>
        <w:pStyle w:val="ListParagraph"/>
        <w:numPr>
          <w:ilvl w:val="0"/>
          <w:numId w:val="9"/>
        </w:numPr>
        <w:spacing w:after="0" w:line="240" w:lineRule="auto"/>
        <w:rPr>
          <w:lang w:val="en-US"/>
        </w:rPr>
      </w:pPr>
      <w:r>
        <w:rPr>
          <w:lang w:val="en-US"/>
        </w:rPr>
        <w:t>Project group: ad hoc working groups which plan and organize specific activities</w:t>
      </w:r>
    </w:p>
    <w:p w14:paraId="0307590B" w14:textId="731DD08D" w:rsidR="00804C09" w:rsidRDefault="00804C09" w:rsidP="00804C09">
      <w:pPr>
        <w:pStyle w:val="ListParagraph"/>
        <w:numPr>
          <w:ilvl w:val="0"/>
          <w:numId w:val="9"/>
        </w:numPr>
        <w:spacing w:after="0" w:line="240" w:lineRule="auto"/>
        <w:rPr>
          <w:lang w:val="en-US"/>
        </w:rPr>
      </w:pPr>
      <w:r>
        <w:rPr>
          <w:lang w:val="en-US"/>
        </w:rPr>
        <w:t xml:space="preserve">Organization of periodical feedback and input from parents, children and professionals </w:t>
      </w:r>
    </w:p>
    <w:p w14:paraId="59D6AE80" w14:textId="2B6AA5F1" w:rsidR="002C2072" w:rsidRDefault="002C2072" w:rsidP="002C2072">
      <w:pPr>
        <w:spacing w:after="0" w:line="240" w:lineRule="auto"/>
        <w:rPr>
          <w:lang w:val="en-US"/>
        </w:rPr>
      </w:pPr>
    </w:p>
    <w:tbl>
      <w:tblPr>
        <w:tblStyle w:val="TableGrid"/>
        <w:tblW w:w="0" w:type="auto"/>
        <w:tblLook w:val="04A0" w:firstRow="1" w:lastRow="0" w:firstColumn="1" w:lastColumn="0" w:noHBand="0" w:noVBand="1"/>
      </w:tblPr>
      <w:tblGrid>
        <w:gridCol w:w="3005"/>
        <w:gridCol w:w="3005"/>
        <w:gridCol w:w="3006"/>
      </w:tblGrid>
      <w:tr w:rsidR="002C2072" w14:paraId="116F7649" w14:textId="77777777" w:rsidTr="002C2072">
        <w:tc>
          <w:tcPr>
            <w:tcW w:w="3005" w:type="dxa"/>
          </w:tcPr>
          <w:p w14:paraId="3402E6A6" w14:textId="6309E3E5" w:rsidR="002C2072" w:rsidRPr="00BD1437" w:rsidRDefault="002C2072" w:rsidP="002C2072">
            <w:pPr>
              <w:rPr>
                <w:b/>
                <w:color w:val="C45911" w:themeColor="accent2" w:themeShade="BF"/>
                <w:lang w:val="en-US"/>
              </w:rPr>
            </w:pPr>
            <w:r w:rsidRPr="00BD1437">
              <w:rPr>
                <w:b/>
                <w:color w:val="C45911" w:themeColor="accent2" w:themeShade="BF"/>
                <w:lang w:val="en-US"/>
              </w:rPr>
              <w:t>Migrants Resource Centre</w:t>
            </w:r>
          </w:p>
        </w:tc>
        <w:tc>
          <w:tcPr>
            <w:tcW w:w="3005" w:type="dxa"/>
          </w:tcPr>
          <w:p w14:paraId="6E572E97" w14:textId="324BF82E" w:rsidR="002C2072" w:rsidRPr="00BD1437" w:rsidRDefault="002C2072" w:rsidP="002C2072">
            <w:pPr>
              <w:rPr>
                <w:b/>
                <w:color w:val="C45911" w:themeColor="accent2" w:themeShade="BF"/>
                <w:lang w:val="en-US"/>
              </w:rPr>
            </w:pPr>
            <w:r w:rsidRPr="00BD1437">
              <w:rPr>
                <w:b/>
                <w:color w:val="C45911" w:themeColor="accent2" w:themeShade="BF"/>
                <w:lang w:val="en-US"/>
              </w:rPr>
              <w:t>African Community School</w:t>
            </w:r>
          </w:p>
        </w:tc>
        <w:tc>
          <w:tcPr>
            <w:tcW w:w="3006" w:type="dxa"/>
          </w:tcPr>
          <w:p w14:paraId="21A35137" w14:textId="1AD69A61" w:rsidR="002C2072" w:rsidRPr="00BD1437" w:rsidRDefault="002C2072" w:rsidP="002C2072">
            <w:pPr>
              <w:rPr>
                <w:b/>
                <w:color w:val="C45911" w:themeColor="accent2" w:themeShade="BF"/>
                <w:lang w:val="en-US"/>
              </w:rPr>
            </w:pPr>
            <w:r w:rsidRPr="00BD1437">
              <w:rPr>
                <w:b/>
                <w:color w:val="C45911" w:themeColor="accent2" w:themeShade="BF"/>
                <w:lang w:val="en-US"/>
              </w:rPr>
              <w:t>Library</w:t>
            </w:r>
          </w:p>
        </w:tc>
      </w:tr>
      <w:tr w:rsidR="002C2072" w14:paraId="682FE680" w14:textId="77777777" w:rsidTr="002C2072">
        <w:tc>
          <w:tcPr>
            <w:tcW w:w="3005" w:type="dxa"/>
          </w:tcPr>
          <w:p w14:paraId="7C19970C" w14:textId="71BD0CAB" w:rsidR="002C2072" w:rsidRPr="00BD1437" w:rsidRDefault="002C2072" w:rsidP="002C2072">
            <w:pPr>
              <w:rPr>
                <w:color w:val="C45911" w:themeColor="accent2" w:themeShade="BF"/>
                <w:lang w:val="en-US"/>
              </w:rPr>
            </w:pPr>
            <w:r w:rsidRPr="00BD1437">
              <w:rPr>
                <w:color w:val="C45911" w:themeColor="accent2" w:themeShade="BF"/>
                <w:lang w:val="en-US"/>
              </w:rPr>
              <w:t>Sheena Vella (Project Co-Ordinator)</w:t>
            </w:r>
          </w:p>
        </w:tc>
        <w:tc>
          <w:tcPr>
            <w:tcW w:w="3005" w:type="dxa"/>
          </w:tcPr>
          <w:p w14:paraId="7CC4A0F7" w14:textId="1A62521E" w:rsidR="002C2072" w:rsidRPr="00BD1437" w:rsidRDefault="002C2072" w:rsidP="002C2072">
            <w:pPr>
              <w:rPr>
                <w:color w:val="C45911" w:themeColor="accent2" w:themeShade="BF"/>
                <w:lang w:val="en-US"/>
              </w:rPr>
            </w:pPr>
            <w:r w:rsidRPr="00BD1437">
              <w:rPr>
                <w:color w:val="C45911" w:themeColor="accent2" w:themeShade="BF"/>
                <w:lang w:val="en-US"/>
              </w:rPr>
              <w:t xml:space="preserve">Kome </w:t>
            </w:r>
            <w:proofErr w:type="spellStart"/>
            <w:r w:rsidRPr="00BD1437">
              <w:rPr>
                <w:color w:val="C45911" w:themeColor="accent2" w:themeShade="BF"/>
                <w:lang w:val="en-US"/>
              </w:rPr>
              <w:t>Owuasu</w:t>
            </w:r>
            <w:proofErr w:type="spellEnd"/>
            <w:r w:rsidRPr="00BD1437">
              <w:rPr>
                <w:color w:val="C45911" w:themeColor="accent2" w:themeShade="BF"/>
                <w:lang w:val="en-US"/>
              </w:rPr>
              <w:t xml:space="preserve"> (Project Manager &amp; Co-Ordinator)</w:t>
            </w:r>
          </w:p>
        </w:tc>
        <w:tc>
          <w:tcPr>
            <w:tcW w:w="3006" w:type="dxa"/>
          </w:tcPr>
          <w:p w14:paraId="1E601C71" w14:textId="72A8B235" w:rsidR="002C2072" w:rsidRPr="00BD1437" w:rsidRDefault="002C2072" w:rsidP="002C2072">
            <w:pPr>
              <w:rPr>
                <w:color w:val="C45911" w:themeColor="accent2" w:themeShade="BF"/>
                <w:lang w:val="en-US"/>
              </w:rPr>
            </w:pPr>
            <w:r w:rsidRPr="00BD1437">
              <w:rPr>
                <w:color w:val="C45911" w:themeColor="accent2" w:themeShade="BF"/>
                <w:lang w:val="en-US"/>
              </w:rPr>
              <w:t>The library is not yet an official partner, however their staff members and service users will be invited to participate in the project.</w:t>
            </w:r>
          </w:p>
        </w:tc>
      </w:tr>
      <w:tr w:rsidR="002C2072" w14:paraId="70E171FD" w14:textId="77777777" w:rsidTr="002C2072">
        <w:tc>
          <w:tcPr>
            <w:tcW w:w="3005" w:type="dxa"/>
          </w:tcPr>
          <w:p w14:paraId="10AAB955" w14:textId="47E9A9C5" w:rsidR="002C2072" w:rsidRPr="00BD1437" w:rsidRDefault="002C2072" w:rsidP="002C2072">
            <w:pPr>
              <w:rPr>
                <w:color w:val="C45911" w:themeColor="accent2" w:themeShade="BF"/>
                <w:lang w:val="en-US"/>
              </w:rPr>
            </w:pPr>
            <w:r w:rsidRPr="00BD1437">
              <w:rPr>
                <w:color w:val="C45911" w:themeColor="accent2" w:themeShade="BF"/>
                <w:lang w:val="en-US"/>
              </w:rPr>
              <w:t>Amanuel Woldesus (Project Manager)</w:t>
            </w:r>
          </w:p>
        </w:tc>
        <w:tc>
          <w:tcPr>
            <w:tcW w:w="3005" w:type="dxa"/>
          </w:tcPr>
          <w:p w14:paraId="0094BCE3" w14:textId="77777777" w:rsidR="002C2072" w:rsidRPr="00BD1437" w:rsidRDefault="002C2072" w:rsidP="002C2072">
            <w:pPr>
              <w:rPr>
                <w:color w:val="C45911" w:themeColor="accent2" w:themeShade="BF"/>
                <w:lang w:val="en-US"/>
              </w:rPr>
            </w:pPr>
          </w:p>
        </w:tc>
        <w:tc>
          <w:tcPr>
            <w:tcW w:w="3006" w:type="dxa"/>
          </w:tcPr>
          <w:p w14:paraId="651EFD1F" w14:textId="77777777" w:rsidR="002C2072" w:rsidRPr="00BD1437" w:rsidRDefault="002C2072" w:rsidP="002C2072">
            <w:pPr>
              <w:rPr>
                <w:color w:val="C45911" w:themeColor="accent2" w:themeShade="BF"/>
                <w:lang w:val="en-US"/>
              </w:rPr>
            </w:pPr>
          </w:p>
        </w:tc>
      </w:tr>
      <w:tr w:rsidR="002C2072" w14:paraId="4B4E27B2" w14:textId="77777777" w:rsidTr="002C2072">
        <w:tc>
          <w:tcPr>
            <w:tcW w:w="3005" w:type="dxa"/>
          </w:tcPr>
          <w:p w14:paraId="13DEF983" w14:textId="77777777" w:rsidR="002C2072" w:rsidRPr="00BD1437" w:rsidRDefault="002C2072" w:rsidP="002C2072">
            <w:pPr>
              <w:rPr>
                <w:color w:val="C45911" w:themeColor="accent2" w:themeShade="BF"/>
                <w:lang w:val="en-US"/>
              </w:rPr>
            </w:pPr>
          </w:p>
        </w:tc>
        <w:tc>
          <w:tcPr>
            <w:tcW w:w="3005" w:type="dxa"/>
          </w:tcPr>
          <w:p w14:paraId="6C16E124" w14:textId="77777777" w:rsidR="002C2072" w:rsidRPr="00BD1437" w:rsidRDefault="002C2072" w:rsidP="002C2072">
            <w:pPr>
              <w:rPr>
                <w:color w:val="C45911" w:themeColor="accent2" w:themeShade="BF"/>
                <w:lang w:val="en-US"/>
              </w:rPr>
            </w:pPr>
          </w:p>
        </w:tc>
        <w:tc>
          <w:tcPr>
            <w:tcW w:w="3006" w:type="dxa"/>
          </w:tcPr>
          <w:p w14:paraId="44C81804" w14:textId="77777777" w:rsidR="002C2072" w:rsidRPr="00BD1437" w:rsidRDefault="002C2072" w:rsidP="002C2072">
            <w:pPr>
              <w:rPr>
                <w:color w:val="C45911" w:themeColor="accent2" w:themeShade="BF"/>
                <w:lang w:val="en-US"/>
              </w:rPr>
            </w:pPr>
          </w:p>
        </w:tc>
      </w:tr>
    </w:tbl>
    <w:p w14:paraId="356CE64B" w14:textId="2DCB999F" w:rsidR="002C2072" w:rsidRDefault="002C2072" w:rsidP="002C2072">
      <w:pPr>
        <w:spacing w:after="0" w:line="240" w:lineRule="auto"/>
        <w:rPr>
          <w:lang w:val="en-US"/>
        </w:rPr>
      </w:pPr>
    </w:p>
    <w:p w14:paraId="76D14273" w14:textId="77777777" w:rsidR="002C2072" w:rsidRPr="002C2072" w:rsidRDefault="002C2072" w:rsidP="002C2072">
      <w:pPr>
        <w:spacing w:after="0" w:line="240" w:lineRule="auto"/>
        <w:rPr>
          <w:lang w:val="en-US"/>
        </w:rPr>
      </w:pPr>
    </w:p>
    <w:p w14:paraId="4BEFA8EA" w14:textId="77777777" w:rsidR="00C80FA6" w:rsidRDefault="00C80FA6" w:rsidP="00C80FA6">
      <w:pPr>
        <w:pStyle w:val="ListParagraph"/>
        <w:numPr>
          <w:ilvl w:val="0"/>
          <w:numId w:val="12"/>
        </w:numPr>
        <w:spacing w:after="0" w:line="240" w:lineRule="auto"/>
        <w:rPr>
          <w:lang w:val="en-US"/>
        </w:rPr>
      </w:pPr>
      <w:r>
        <w:rPr>
          <w:lang w:val="en-US"/>
        </w:rPr>
        <w:t>Roles and responsibilities partners</w:t>
      </w:r>
    </w:p>
    <w:p w14:paraId="442FE93A" w14:textId="77777777" w:rsidR="00C80FA6" w:rsidRDefault="00C80FA6" w:rsidP="00804C09">
      <w:pPr>
        <w:pStyle w:val="ListParagraph"/>
        <w:spacing w:after="0" w:line="240" w:lineRule="auto"/>
        <w:ind w:left="0"/>
        <w:rPr>
          <w:lang w:val="en-US"/>
        </w:rPr>
      </w:pPr>
    </w:p>
    <w:tbl>
      <w:tblPr>
        <w:tblStyle w:val="TableGrid"/>
        <w:tblW w:w="9209" w:type="dxa"/>
        <w:tblLook w:val="04A0" w:firstRow="1" w:lastRow="0" w:firstColumn="1" w:lastColumn="0" w:noHBand="0" w:noVBand="1"/>
      </w:tblPr>
      <w:tblGrid>
        <w:gridCol w:w="2263"/>
        <w:gridCol w:w="3402"/>
        <w:gridCol w:w="3544"/>
      </w:tblGrid>
      <w:tr w:rsidR="00BD1437" w:rsidRPr="00BD1437" w14:paraId="14B26902" w14:textId="77777777" w:rsidTr="008175F6">
        <w:tc>
          <w:tcPr>
            <w:tcW w:w="2263" w:type="dxa"/>
          </w:tcPr>
          <w:p w14:paraId="7D132617" w14:textId="1F323205" w:rsidR="008175F6" w:rsidRPr="00BD1437" w:rsidRDefault="008175F6" w:rsidP="00804C09">
            <w:pPr>
              <w:pStyle w:val="ListParagraph"/>
              <w:ind w:left="0"/>
              <w:rPr>
                <w:color w:val="C45911" w:themeColor="accent2" w:themeShade="BF"/>
                <w:lang w:val="en-US"/>
              </w:rPr>
            </w:pPr>
            <w:r w:rsidRPr="00BD1437">
              <w:rPr>
                <w:color w:val="C45911" w:themeColor="accent2" w:themeShade="BF"/>
                <w:lang w:val="en-US"/>
              </w:rPr>
              <w:t>MRC</w:t>
            </w:r>
          </w:p>
        </w:tc>
        <w:tc>
          <w:tcPr>
            <w:tcW w:w="3402" w:type="dxa"/>
          </w:tcPr>
          <w:p w14:paraId="62A94042" w14:textId="7F1FAF88" w:rsidR="008175F6" w:rsidRPr="00BD1437" w:rsidRDefault="008175F6" w:rsidP="00804C09">
            <w:pPr>
              <w:pStyle w:val="ListParagraph"/>
              <w:ind w:left="0"/>
              <w:rPr>
                <w:color w:val="C45911" w:themeColor="accent2" w:themeShade="BF"/>
                <w:lang w:val="en-US"/>
              </w:rPr>
            </w:pPr>
            <w:r w:rsidRPr="00BD1437">
              <w:rPr>
                <w:color w:val="C45911" w:themeColor="accent2" w:themeShade="BF"/>
                <w:lang w:val="en-US"/>
              </w:rPr>
              <w:t>African Community School</w:t>
            </w:r>
          </w:p>
        </w:tc>
        <w:tc>
          <w:tcPr>
            <w:tcW w:w="3544" w:type="dxa"/>
          </w:tcPr>
          <w:p w14:paraId="12130037" w14:textId="366B4FF3" w:rsidR="008175F6" w:rsidRPr="00BD1437" w:rsidRDefault="008175F6" w:rsidP="00804C09">
            <w:pPr>
              <w:pStyle w:val="ListParagraph"/>
              <w:ind w:left="0"/>
              <w:rPr>
                <w:color w:val="C45911" w:themeColor="accent2" w:themeShade="BF"/>
                <w:lang w:val="en-US"/>
              </w:rPr>
            </w:pPr>
            <w:r w:rsidRPr="00BD1437">
              <w:rPr>
                <w:color w:val="C45911" w:themeColor="accent2" w:themeShade="BF"/>
                <w:lang w:val="en-US"/>
              </w:rPr>
              <w:t>Library</w:t>
            </w:r>
          </w:p>
        </w:tc>
      </w:tr>
      <w:tr w:rsidR="00BD1437" w:rsidRPr="00BD1437" w14:paraId="4A940582" w14:textId="77777777" w:rsidTr="008175F6">
        <w:tc>
          <w:tcPr>
            <w:tcW w:w="2263" w:type="dxa"/>
          </w:tcPr>
          <w:p w14:paraId="69342F40" w14:textId="375D4902" w:rsidR="008175F6" w:rsidRPr="00BD1437" w:rsidRDefault="008175F6" w:rsidP="008175F6">
            <w:pPr>
              <w:rPr>
                <w:color w:val="C45911" w:themeColor="accent2" w:themeShade="BF"/>
                <w:lang w:val="en-US"/>
              </w:rPr>
            </w:pPr>
            <w:r w:rsidRPr="00BD1437">
              <w:rPr>
                <w:color w:val="C45911" w:themeColor="accent2" w:themeShade="BF"/>
                <w:lang w:val="en-US"/>
              </w:rPr>
              <w:t xml:space="preserve">Co-ordinate the development of the training </w:t>
            </w:r>
            <w:proofErr w:type="spellStart"/>
            <w:r w:rsidRPr="00BD1437">
              <w:rPr>
                <w:color w:val="C45911" w:themeColor="accent2" w:themeShade="BF"/>
                <w:lang w:val="en-US"/>
              </w:rPr>
              <w:t>programmes</w:t>
            </w:r>
            <w:proofErr w:type="spellEnd"/>
          </w:p>
          <w:p w14:paraId="10C69B02" w14:textId="77777777" w:rsidR="008175F6" w:rsidRPr="00BD1437" w:rsidRDefault="008175F6" w:rsidP="008175F6">
            <w:pPr>
              <w:rPr>
                <w:color w:val="C45911" w:themeColor="accent2" w:themeShade="BF"/>
                <w:lang w:val="en-US"/>
              </w:rPr>
            </w:pPr>
          </w:p>
          <w:p w14:paraId="5249A676" w14:textId="0F311661" w:rsidR="008175F6" w:rsidRPr="00BD1437" w:rsidRDefault="008175F6" w:rsidP="008175F6">
            <w:pPr>
              <w:rPr>
                <w:color w:val="C45911" w:themeColor="accent2" w:themeShade="BF"/>
                <w:lang w:val="en-US"/>
              </w:rPr>
            </w:pPr>
            <w:r w:rsidRPr="00BD1437">
              <w:rPr>
                <w:color w:val="C45911" w:themeColor="accent2" w:themeShade="BF"/>
                <w:lang w:val="en-US"/>
              </w:rPr>
              <w:t xml:space="preserve">Training of volunteer media coaches to deliver the training </w:t>
            </w:r>
            <w:proofErr w:type="spellStart"/>
            <w:r w:rsidRPr="00BD1437">
              <w:rPr>
                <w:color w:val="C45911" w:themeColor="accent2" w:themeShade="BF"/>
                <w:lang w:val="en-US"/>
              </w:rPr>
              <w:t>programmes</w:t>
            </w:r>
            <w:proofErr w:type="spellEnd"/>
          </w:p>
          <w:p w14:paraId="53018D3A" w14:textId="77777777" w:rsidR="008175F6" w:rsidRPr="00BD1437" w:rsidRDefault="008175F6" w:rsidP="008175F6">
            <w:pPr>
              <w:rPr>
                <w:color w:val="C45911" w:themeColor="accent2" w:themeShade="BF"/>
                <w:lang w:val="en-US"/>
              </w:rPr>
            </w:pPr>
          </w:p>
          <w:p w14:paraId="467BC09C" w14:textId="77777777" w:rsidR="008175F6" w:rsidRPr="00BD1437" w:rsidRDefault="008175F6" w:rsidP="008175F6">
            <w:pPr>
              <w:rPr>
                <w:color w:val="C45911" w:themeColor="accent2" w:themeShade="BF"/>
                <w:lang w:val="en-US"/>
              </w:rPr>
            </w:pPr>
            <w:r w:rsidRPr="00BD1437">
              <w:rPr>
                <w:color w:val="C45911" w:themeColor="accent2" w:themeShade="BF"/>
                <w:lang w:val="en-US"/>
              </w:rPr>
              <w:t>Monitoring of activities in the school and library</w:t>
            </w:r>
          </w:p>
          <w:p w14:paraId="4A28B846" w14:textId="77777777" w:rsidR="008175F6" w:rsidRPr="00BD1437" w:rsidRDefault="008175F6" w:rsidP="008175F6">
            <w:pPr>
              <w:rPr>
                <w:color w:val="C45911" w:themeColor="accent2" w:themeShade="BF"/>
                <w:lang w:val="en-US"/>
              </w:rPr>
            </w:pPr>
          </w:p>
          <w:p w14:paraId="1B733264" w14:textId="0323CB0B" w:rsidR="008175F6" w:rsidRPr="00BD1437" w:rsidRDefault="008175F6" w:rsidP="008175F6">
            <w:pPr>
              <w:rPr>
                <w:color w:val="C45911" w:themeColor="accent2" w:themeShade="BF"/>
                <w:lang w:val="en-US"/>
              </w:rPr>
            </w:pPr>
            <w:r w:rsidRPr="00BD1437">
              <w:rPr>
                <w:color w:val="C45911" w:themeColor="accent2" w:themeShade="BF"/>
                <w:lang w:val="en-US"/>
              </w:rPr>
              <w:t>Evaluation and reporting of activities</w:t>
            </w:r>
          </w:p>
        </w:tc>
        <w:tc>
          <w:tcPr>
            <w:tcW w:w="3402" w:type="dxa"/>
          </w:tcPr>
          <w:p w14:paraId="146E3B59" w14:textId="77777777" w:rsidR="008175F6" w:rsidRPr="00BD1437" w:rsidRDefault="008175F6" w:rsidP="00804C09">
            <w:pPr>
              <w:pStyle w:val="ListParagraph"/>
              <w:ind w:left="0"/>
              <w:rPr>
                <w:color w:val="C45911" w:themeColor="accent2" w:themeShade="BF"/>
                <w:lang w:val="en-US"/>
              </w:rPr>
            </w:pPr>
            <w:r w:rsidRPr="00BD1437">
              <w:rPr>
                <w:color w:val="C45911" w:themeColor="accent2" w:themeShade="BF"/>
                <w:lang w:val="en-US"/>
              </w:rPr>
              <w:t>Recruitment of children, youths, parents and teachers to participate in the project</w:t>
            </w:r>
          </w:p>
          <w:p w14:paraId="418B54F3" w14:textId="77777777" w:rsidR="008175F6" w:rsidRPr="00BD1437" w:rsidRDefault="008175F6" w:rsidP="00804C09">
            <w:pPr>
              <w:pStyle w:val="ListParagraph"/>
              <w:ind w:left="0"/>
              <w:rPr>
                <w:color w:val="C45911" w:themeColor="accent2" w:themeShade="BF"/>
                <w:lang w:val="en-US"/>
              </w:rPr>
            </w:pPr>
          </w:p>
          <w:p w14:paraId="2D60F6CD" w14:textId="25522CFD" w:rsidR="008175F6" w:rsidRPr="00BD1437" w:rsidRDefault="008175F6" w:rsidP="00804C09">
            <w:pPr>
              <w:pStyle w:val="ListParagraph"/>
              <w:ind w:left="0"/>
              <w:rPr>
                <w:color w:val="C45911" w:themeColor="accent2" w:themeShade="BF"/>
                <w:lang w:val="en-US"/>
              </w:rPr>
            </w:pPr>
            <w:r w:rsidRPr="00BD1437">
              <w:rPr>
                <w:color w:val="C45911" w:themeColor="accent2" w:themeShade="BF"/>
                <w:lang w:val="en-US"/>
              </w:rPr>
              <w:t xml:space="preserve">Co-ordination and delivery of activities in the school. </w:t>
            </w:r>
          </w:p>
        </w:tc>
        <w:tc>
          <w:tcPr>
            <w:tcW w:w="3544" w:type="dxa"/>
          </w:tcPr>
          <w:p w14:paraId="7BE8F375" w14:textId="5E748655" w:rsidR="008175F6" w:rsidRPr="00BD1437" w:rsidRDefault="008175F6" w:rsidP="00804C09">
            <w:pPr>
              <w:pStyle w:val="ListParagraph"/>
              <w:ind w:left="0"/>
              <w:rPr>
                <w:color w:val="C45911" w:themeColor="accent2" w:themeShade="BF"/>
                <w:lang w:val="en-US"/>
              </w:rPr>
            </w:pPr>
            <w:r w:rsidRPr="00BD1437">
              <w:rPr>
                <w:color w:val="C45911" w:themeColor="accent2" w:themeShade="BF"/>
                <w:lang w:val="en-US"/>
              </w:rPr>
              <w:t>As they are not yet official partners of the project they do not bear direct responsibility at this stage, however we wish to engage them at a later stage in the project as both hosts and participants of the project</w:t>
            </w:r>
          </w:p>
        </w:tc>
      </w:tr>
      <w:tr w:rsidR="00BD1437" w:rsidRPr="00BD1437" w14:paraId="56F0563D" w14:textId="77777777" w:rsidTr="008175F6">
        <w:tc>
          <w:tcPr>
            <w:tcW w:w="2263" w:type="dxa"/>
          </w:tcPr>
          <w:p w14:paraId="2BA42924" w14:textId="77777777" w:rsidR="008175F6" w:rsidRPr="00BD1437" w:rsidRDefault="008175F6" w:rsidP="00804C09">
            <w:pPr>
              <w:pStyle w:val="ListParagraph"/>
              <w:ind w:left="0"/>
              <w:rPr>
                <w:color w:val="C45911" w:themeColor="accent2" w:themeShade="BF"/>
                <w:lang w:val="en-US"/>
              </w:rPr>
            </w:pPr>
          </w:p>
        </w:tc>
        <w:tc>
          <w:tcPr>
            <w:tcW w:w="3402" w:type="dxa"/>
          </w:tcPr>
          <w:p w14:paraId="53CB068B" w14:textId="77777777" w:rsidR="008175F6" w:rsidRPr="00BD1437" w:rsidRDefault="008175F6" w:rsidP="00804C09">
            <w:pPr>
              <w:pStyle w:val="ListParagraph"/>
              <w:ind w:left="0"/>
              <w:rPr>
                <w:color w:val="C45911" w:themeColor="accent2" w:themeShade="BF"/>
                <w:lang w:val="en-US"/>
              </w:rPr>
            </w:pPr>
          </w:p>
        </w:tc>
        <w:tc>
          <w:tcPr>
            <w:tcW w:w="3544" w:type="dxa"/>
          </w:tcPr>
          <w:p w14:paraId="2EC6F2BD" w14:textId="77777777" w:rsidR="008175F6" w:rsidRPr="00BD1437" w:rsidRDefault="008175F6" w:rsidP="00804C09">
            <w:pPr>
              <w:pStyle w:val="ListParagraph"/>
              <w:ind w:left="0"/>
              <w:rPr>
                <w:color w:val="C45911" w:themeColor="accent2" w:themeShade="BF"/>
                <w:lang w:val="en-US"/>
              </w:rPr>
            </w:pPr>
          </w:p>
        </w:tc>
      </w:tr>
    </w:tbl>
    <w:p w14:paraId="5D293DA5" w14:textId="77777777" w:rsidR="00C80FA6" w:rsidRDefault="00C80FA6" w:rsidP="00804C09">
      <w:pPr>
        <w:pStyle w:val="ListParagraph"/>
        <w:spacing w:after="0" w:line="240" w:lineRule="auto"/>
        <w:ind w:left="0"/>
        <w:rPr>
          <w:lang w:val="en-US"/>
        </w:rPr>
      </w:pPr>
    </w:p>
    <w:p w14:paraId="122EDAD4" w14:textId="77777777" w:rsidR="00C80FA6" w:rsidRDefault="00C80FA6" w:rsidP="00804C09">
      <w:pPr>
        <w:pStyle w:val="ListParagraph"/>
        <w:spacing w:after="0" w:line="240" w:lineRule="auto"/>
        <w:ind w:left="0"/>
        <w:rPr>
          <w:lang w:val="en-US"/>
        </w:rPr>
      </w:pPr>
    </w:p>
    <w:p w14:paraId="2A8DC278" w14:textId="77777777" w:rsidR="00804C09" w:rsidRPr="00C80FA6" w:rsidRDefault="00C80FA6" w:rsidP="00C80FA6">
      <w:pPr>
        <w:pStyle w:val="ListParagraph"/>
        <w:numPr>
          <w:ilvl w:val="0"/>
          <w:numId w:val="12"/>
        </w:numPr>
        <w:spacing w:after="0" w:line="240" w:lineRule="auto"/>
        <w:rPr>
          <w:lang w:val="en-US"/>
        </w:rPr>
      </w:pPr>
      <w:r w:rsidRPr="00C80FA6">
        <w:rPr>
          <w:lang w:val="en-US"/>
        </w:rPr>
        <w:t>Possible h</w:t>
      </w:r>
      <w:r w:rsidR="00804C09" w:rsidRPr="00C80FA6">
        <w:rPr>
          <w:lang w:val="en-US"/>
        </w:rPr>
        <w:t>orizontal activities (based on competence schemes</w:t>
      </w:r>
      <w:r w:rsidR="00624266">
        <w:rPr>
          <w:lang w:val="en-US"/>
        </w:rPr>
        <w:t xml:space="preserve"> + attachment Curriculum development</w:t>
      </w:r>
      <w:r w:rsidR="00804C09" w:rsidRPr="00C80FA6">
        <w:rPr>
          <w:lang w:val="en-US"/>
        </w:rPr>
        <w:t>)</w:t>
      </w:r>
    </w:p>
    <w:p w14:paraId="1B6A4C10" w14:textId="77777777" w:rsidR="00804C09" w:rsidRDefault="00804C09" w:rsidP="00C80FA6">
      <w:pPr>
        <w:pStyle w:val="ListParagraph"/>
        <w:numPr>
          <w:ilvl w:val="1"/>
          <w:numId w:val="12"/>
        </w:numPr>
        <w:spacing w:after="0" w:line="240" w:lineRule="auto"/>
        <w:rPr>
          <w:lang w:val="en-US"/>
        </w:rPr>
      </w:pPr>
      <w:r>
        <w:rPr>
          <w:lang w:val="en-US"/>
        </w:rPr>
        <w:t>Development and execution of training programs for professionals</w:t>
      </w:r>
    </w:p>
    <w:p w14:paraId="6E014669" w14:textId="4D584835" w:rsidR="001B3ED1" w:rsidRDefault="00804C09" w:rsidP="00B33060">
      <w:pPr>
        <w:pStyle w:val="ListParagraph"/>
        <w:numPr>
          <w:ilvl w:val="1"/>
          <w:numId w:val="12"/>
        </w:numPr>
        <w:spacing w:after="0" w:line="240" w:lineRule="auto"/>
        <w:rPr>
          <w:lang w:val="en-US"/>
        </w:rPr>
      </w:pPr>
      <w:r w:rsidRPr="001B3ED1">
        <w:rPr>
          <w:lang w:val="en-US"/>
        </w:rPr>
        <w:t>Development and execution of activity programs for children and youngsters</w:t>
      </w:r>
    </w:p>
    <w:p w14:paraId="5353C639" w14:textId="77777777" w:rsidR="009F0692" w:rsidRDefault="009F0692" w:rsidP="009F0692">
      <w:pPr>
        <w:spacing w:after="0" w:line="240" w:lineRule="auto"/>
        <w:rPr>
          <w:lang w:val="en-US"/>
        </w:rPr>
      </w:pPr>
    </w:p>
    <w:p w14:paraId="4ED70154" w14:textId="302F4D92" w:rsidR="001B3ED1" w:rsidRPr="00BD1437" w:rsidRDefault="009F0692" w:rsidP="009F0692">
      <w:pPr>
        <w:spacing w:after="0" w:line="240" w:lineRule="auto"/>
        <w:rPr>
          <w:color w:val="C45911" w:themeColor="accent2" w:themeShade="BF"/>
          <w:lang w:val="en-US"/>
        </w:rPr>
      </w:pPr>
      <w:r w:rsidRPr="00BD1437">
        <w:rPr>
          <w:color w:val="C45911" w:themeColor="accent2" w:themeShade="BF"/>
          <w:lang w:val="en-US"/>
        </w:rPr>
        <w:t xml:space="preserve">Please see attached the training and activities </w:t>
      </w:r>
      <w:proofErr w:type="spellStart"/>
      <w:r w:rsidRPr="00BD1437">
        <w:rPr>
          <w:color w:val="C45911" w:themeColor="accent2" w:themeShade="BF"/>
          <w:lang w:val="en-US"/>
        </w:rPr>
        <w:t>programme</w:t>
      </w:r>
      <w:proofErr w:type="spellEnd"/>
      <w:r w:rsidRPr="00BD1437">
        <w:rPr>
          <w:color w:val="C45911" w:themeColor="accent2" w:themeShade="BF"/>
          <w:lang w:val="en-US"/>
        </w:rPr>
        <w:t xml:space="preserve"> attached.</w:t>
      </w:r>
    </w:p>
    <w:p w14:paraId="6C871819" w14:textId="77777777" w:rsidR="009F0692" w:rsidRPr="001B3ED1" w:rsidRDefault="009F0692" w:rsidP="009F0692">
      <w:pPr>
        <w:spacing w:after="0" w:line="240" w:lineRule="auto"/>
        <w:rPr>
          <w:lang w:val="en-US"/>
        </w:rPr>
      </w:pPr>
    </w:p>
    <w:p w14:paraId="656240F2" w14:textId="77777777" w:rsidR="00804C09" w:rsidRDefault="00C80FA6" w:rsidP="00C80FA6">
      <w:pPr>
        <w:pStyle w:val="ListParagraph"/>
        <w:numPr>
          <w:ilvl w:val="0"/>
          <w:numId w:val="12"/>
        </w:numPr>
        <w:spacing w:after="0" w:line="240" w:lineRule="auto"/>
        <w:rPr>
          <w:lang w:val="en-US"/>
        </w:rPr>
      </w:pPr>
      <w:r>
        <w:rPr>
          <w:lang w:val="en-US"/>
        </w:rPr>
        <w:t>Possible v</w:t>
      </w:r>
      <w:r w:rsidR="00804C09">
        <w:rPr>
          <w:lang w:val="en-US"/>
        </w:rPr>
        <w:t>ertical activities</w:t>
      </w:r>
    </w:p>
    <w:p w14:paraId="056267A6" w14:textId="77777777" w:rsidR="00C80FA6" w:rsidRDefault="00C80FA6" w:rsidP="00C80FA6">
      <w:pPr>
        <w:pStyle w:val="ListParagraph"/>
        <w:numPr>
          <w:ilvl w:val="1"/>
          <w:numId w:val="12"/>
        </w:numPr>
        <w:spacing w:after="0" w:line="240" w:lineRule="auto"/>
        <w:rPr>
          <w:lang w:val="en-US"/>
        </w:rPr>
      </w:pPr>
      <w:r>
        <w:rPr>
          <w:lang w:val="en-US"/>
        </w:rPr>
        <w:t>Development of own digital citizenship policies by each partner</w:t>
      </w:r>
    </w:p>
    <w:p w14:paraId="2B2EF5B7" w14:textId="77777777" w:rsidR="00C80FA6" w:rsidRDefault="00C80FA6" w:rsidP="00C80FA6">
      <w:pPr>
        <w:pStyle w:val="ListParagraph"/>
        <w:numPr>
          <w:ilvl w:val="1"/>
          <w:numId w:val="12"/>
        </w:numPr>
        <w:spacing w:after="0" w:line="240" w:lineRule="auto"/>
        <w:rPr>
          <w:lang w:val="en-US"/>
        </w:rPr>
      </w:pPr>
      <w:r>
        <w:rPr>
          <w:lang w:val="en-US"/>
        </w:rPr>
        <w:t>Support of school and youth organizations in developing own digital citizenship policies</w:t>
      </w:r>
    </w:p>
    <w:p w14:paraId="43953FFA" w14:textId="77777777" w:rsidR="00C80FA6" w:rsidRDefault="00C80FA6" w:rsidP="00C80FA6">
      <w:pPr>
        <w:pStyle w:val="ListParagraph"/>
        <w:numPr>
          <w:ilvl w:val="1"/>
          <w:numId w:val="12"/>
        </w:numPr>
        <w:spacing w:after="0" w:line="240" w:lineRule="auto"/>
        <w:rPr>
          <w:lang w:val="en-US"/>
        </w:rPr>
      </w:pPr>
      <w:r>
        <w:rPr>
          <w:lang w:val="en-US"/>
        </w:rPr>
        <w:t>Execution of activity programs with children and/or youngsters</w:t>
      </w:r>
    </w:p>
    <w:p w14:paraId="4FC43322" w14:textId="3A7ACD2A" w:rsidR="00C80FA6" w:rsidRDefault="00C80FA6" w:rsidP="00C80FA6">
      <w:pPr>
        <w:pStyle w:val="ListParagraph"/>
        <w:numPr>
          <w:ilvl w:val="1"/>
          <w:numId w:val="12"/>
        </w:numPr>
        <w:spacing w:after="0" w:line="240" w:lineRule="auto"/>
        <w:rPr>
          <w:lang w:val="en-US"/>
        </w:rPr>
      </w:pPr>
      <w:r>
        <w:rPr>
          <w:lang w:val="en-US"/>
        </w:rPr>
        <w:t>Execution of activity programs wilt MLF parents</w:t>
      </w:r>
    </w:p>
    <w:p w14:paraId="141DA00C" w14:textId="64CB25ED" w:rsidR="009F0692" w:rsidRDefault="009F0692" w:rsidP="009F0692">
      <w:pPr>
        <w:spacing w:after="0" w:line="240" w:lineRule="auto"/>
        <w:rPr>
          <w:lang w:val="en-US"/>
        </w:rPr>
      </w:pPr>
    </w:p>
    <w:p w14:paraId="640DCC05" w14:textId="77777777" w:rsidR="00BD1437" w:rsidRPr="00BD1437" w:rsidRDefault="00BD1437" w:rsidP="00BD1437">
      <w:pPr>
        <w:spacing w:after="0" w:line="240" w:lineRule="auto"/>
        <w:rPr>
          <w:color w:val="C45911" w:themeColor="accent2" w:themeShade="BF"/>
          <w:lang w:val="en-US"/>
        </w:rPr>
      </w:pPr>
      <w:r w:rsidRPr="00BD1437">
        <w:rPr>
          <w:color w:val="C45911" w:themeColor="accent2" w:themeShade="BF"/>
          <w:lang w:val="en-US"/>
        </w:rPr>
        <w:t xml:space="preserve">Please see attached the training and activities </w:t>
      </w:r>
      <w:proofErr w:type="spellStart"/>
      <w:r w:rsidRPr="00BD1437">
        <w:rPr>
          <w:color w:val="C45911" w:themeColor="accent2" w:themeShade="BF"/>
          <w:lang w:val="en-US"/>
        </w:rPr>
        <w:t>programme</w:t>
      </w:r>
      <w:proofErr w:type="spellEnd"/>
      <w:r w:rsidRPr="00BD1437">
        <w:rPr>
          <w:color w:val="C45911" w:themeColor="accent2" w:themeShade="BF"/>
          <w:lang w:val="en-US"/>
        </w:rPr>
        <w:t xml:space="preserve"> attached.</w:t>
      </w:r>
    </w:p>
    <w:p w14:paraId="7CFBD455" w14:textId="77777777" w:rsidR="00BD1437" w:rsidRPr="009F0692" w:rsidRDefault="00BD1437" w:rsidP="009F0692">
      <w:pPr>
        <w:spacing w:after="0" w:line="240" w:lineRule="auto"/>
        <w:rPr>
          <w:lang w:val="en-US"/>
        </w:rPr>
      </w:pPr>
    </w:p>
    <w:p w14:paraId="34EA8CF9" w14:textId="42444CB4" w:rsidR="00C80FA6" w:rsidRDefault="00C80FA6" w:rsidP="00C80FA6">
      <w:pPr>
        <w:pStyle w:val="ListParagraph"/>
        <w:numPr>
          <w:ilvl w:val="0"/>
          <w:numId w:val="12"/>
        </w:numPr>
        <w:spacing w:after="0" w:line="240" w:lineRule="auto"/>
        <w:rPr>
          <w:lang w:val="en-US"/>
        </w:rPr>
      </w:pPr>
      <w:r>
        <w:rPr>
          <w:lang w:val="en-US"/>
        </w:rPr>
        <w:t>Dissemination in local multipliers meetings</w:t>
      </w:r>
    </w:p>
    <w:p w14:paraId="513F6C75" w14:textId="2911CF09" w:rsidR="009F0692" w:rsidRDefault="009F0692" w:rsidP="009F0692">
      <w:pPr>
        <w:spacing w:after="0" w:line="240" w:lineRule="auto"/>
        <w:rPr>
          <w:lang w:val="en-US"/>
        </w:rPr>
      </w:pPr>
    </w:p>
    <w:p w14:paraId="3D9CA01C" w14:textId="600A236E" w:rsidR="006C56C6" w:rsidRPr="00BD1437" w:rsidRDefault="006C56C6" w:rsidP="009F0692">
      <w:pPr>
        <w:spacing w:after="0" w:line="240" w:lineRule="auto"/>
        <w:rPr>
          <w:color w:val="C45911" w:themeColor="accent2" w:themeShade="BF"/>
          <w:lang w:val="en-US"/>
        </w:rPr>
      </w:pPr>
      <w:r w:rsidRPr="00BD1437">
        <w:rPr>
          <w:color w:val="C45911" w:themeColor="accent2" w:themeShade="BF"/>
          <w:lang w:val="en-US"/>
        </w:rPr>
        <w:t xml:space="preserve">We shall </w:t>
      </w:r>
      <w:proofErr w:type="spellStart"/>
      <w:r w:rsidRPr="00BD1437">
        <w:rPr>
          <w:color w:val="C45911" w:themeColor="accent2" w:themeShade="BF"/>
          <w:lang w:val="en-US"/>
        </w:rPr>
        <w:t>organise</w:t>
      </w:r>
      <w:proofErr w:type="spellEnd"/>
      <w:r w:rsidRPr="00BD1437">
        <w:rPr>
          <w:color w:val="C45911" w:themeColor="accent2" w:themeShade="BF"/>
          <w:lang w:val="en-US"/>
        </w:rPr>
        <w:t xml:space="preserve"> at least one Registration Day, whereby members of the community can learn more about the project and what it offers. They will have the opportunity to have some taster sessions and register their interest in </w:t>
      </w:r>
      <w:r w:rsidR="00CF3C54" w:rsidRPr="00BD1437">
        <w:rPr>
          <w:color w:val="C45911" w:themeColor="accent2" w:themeShade="BF"/>
          <w:lang w:val="en-US"/>
        </w:rPr>
        <w:t xml:space="preserve">the project </w:t>
      </w:r>
      <w:r w:rsidRPr="00BD1437">
        <w:rPr>
          <w:color w:val="C45911" w:themeColor="accent2" w:themeShade="BF"/>
          <w:lang w:val="en-US"/>
        </w:rPr>
        <w:t>on the day.</w:t>
      </w:r>
    </w:p>
    <w:p w14:paraId="5BD52D1A" w14:textId="77777777" w:rsidR="006C56C6" w:rsidRPr="00BD1437" w:rsidRDefault="006C56C6" w:rsidP="009F0692">
      <w:pPr>
        <w:spacing w:after="0" w:line="240" w:lineRule="auto"/>
        <w:rPr>
          <w:color w:val="C45911" w:themeColor="accent2" w:themeShade="BF"/>
          <w:lang w:val="en-US"/>
        </w:rPr>
      </w:pPr>
    </w:p>
    <w:p w14:paraId="2B4057E0" w14:textId="287FFEAD" w:rsidR="009F0692" w:rsidRPr="00BD1437" w:rsidRDefault="009F0692" w:rsidP="009F0692">
      <w:pPr>
        <w:spacing w:after="0" w:line="240" w:lineRule="auto"/>
        <w:rPr>
          <w:color w:val="C45911" w:themeColor="accent2" w:themeShade="BF"/>
          <w:lang w:val="en-US"/>
        </w:rPr>
      </w:pPr>
      <w:r w:rsidRPr="00BD1437">
        <w:rPr>
          <w:color w:val="C45911" w:themeColor="accent2" w:themeShade="BF"/>
          <w:lang w:val="en-US"/>
        </w:rPr>
        <w:t xml:space="preserve">The local partnership will </w:t>
      </w:r>
      <w:r w:rsidR="00175144" w:rsidRPr="00BD1437">
        <w:rPr>
          <w:color w:val="C45911" w:themeColor="accent2" w:themeShade="BF"/>
          <w:lang w:val="en-US"/>
        </w:rPr>
        <w:t xml:space="preserve">have </w:t>
      </w:r>
      <w:r w:rsidRPr="00BD1437">
        <w:rPr>
          <w:color w:val="C45911" w:themeColor="accent2" w:themeShade="BF"/>
          <w:lang w:val="en-US"/>
        </w:rPr>
        <w:t>at least two stalls</w:t>
      </w:r>
      <w:r w:rsidR="00347EA2" w:rsidRPr="00BD1437">
        <w:rPr>
          <w:color w:val="C45911" w:themeColor="accent2" w:themeShade="BF"/>
          <w:lang w:val="en-US"/>
        </w:rPr>
        <w:t xml:space="preserve"> based</w:t>
      </w:r>
      <w:r w:rsidRPr="00BD1437">
        <w:rPr>
          <w:color w:val="C45911" w:themeColor="accent2" w:themeShade="BF"/>
          <w:lang w:val="en-US"/>
        </w:rPr>
        <w:t xml:space="preserve"> </w:t>
      </w:r>
      <w:r w:rsidR="006C346E" w:rsidRPr="00BD1437">
        <w:rPr>
          <w:color w:val="C45911" w:themeColor="accent2" w:themeShade="BF"/>
          <w:lang w:val="en-US"/>
        </w:rPr>
        <w:t xml:space="preserve">at different locations and/or activities </w:t>
      </w:r>
      <w:r w:rsidRPr="00BD1437">
        <w:rPr>
          <w:color w:val="C45911" w:themeColor="accent2" w:themeShade="BF"/>
          <w:lang w:val="en-US"/>
        </w:rPr>
        <w:t xml:space="preserve">in the borough of </w:t>
      </w:r>
      <w:r w:rsidR="006C346E" w:rsidRPr="00BD1437">
        <w:rPr>
          <w:color w:val="C45911" w:themeColor="accent2" w:themeShade="BF"/>
          <w:lang w:val="en-US"/>
        </w:rPr>
        <w:t xml:space="preserve">Hackney </w:t>
      </w:r>
      <w:r w:rsidRPr="00BD1437">
        <w:rPr>
          <w:color w:val="C45911" w:themeColor="accent2" w:themeShade="BF"/>
          <w:lang w:val="en-US"/>
        </w:rPr>
        <w:t>whereby we shall be promoting the project in the community. At this event, interested and eligible participants will be able to register for the training and activities.</w:t>
      </w:r>
    </w:p>
    <w:p w14:paraId="2AE1B26B" w14:textId="2F86787B" w:rsidR="00F37EA9" w:rsidRPr="00BD1437" w:rsidRDefault="00F37EA9" w:rsidP="009F0692">
      <w:pPr>
        <w:spacing w:after="0" w:line="240" w:lineRule="auto"/>
        <w:rPr>
          <w:color w:val="C45911" w:themeColor="accent2" w:themeShade="BF"/>
          <w:lang w:val="en-US"/>
        </w:rPr>
      </w:pPr>
    </w:p>
    <w:p w14:paraId="54C8D6B5" w14:textId="3829B3ED" w:rsidR="00F37EA9" w:rsidRPr="00BD1437" w:rsidRDefault="00F37EA9" w:rsidP="009F0692">
      <w:pPr>
        <w:spacing w:after="0" w:line="240" w:lineRule="auto"/>
        <w:rPr>
          <w:color w:val="C45911" w:themeColor="accent2" w:themeShade="BF"/>
          <w:lang w:val="en-US"/>
        </w:rPr>
      </w:pPr>
      <w:r w:rsidRPr="00BD1437">
        <w:rPr>
          <w:color w:val="C45911" w:themeColor="accent2" w:themeShade="BF"/>
          <w:lang w:val="en-US"/>
        </w:rPr>
        <w:t>The African Community School shall also be disseminating the opportunities arising from the project among its primary and secondary schools</w:t>
      </w:r>
      <w:r w:rsidR="00DF7324" w:rsidRPr="00BD1437">
        <w:rPr>
          <w:color w:val="C45911" w:themeColor="accent2" w:themeShade="BF"/>
          <w:lang w:val="en-US"/>
        </w:rPr>
        <w:t xml:space="preserve"> on an ongoing basis</w:t>
      </w:r>
      <w:r w:rsidRPr="00BD1437">
        <w:rPr>
          <w:color w:val="C45911" w:themeColor="accent2" w:themeShade="BF"/>
          <w:lang w:val="en-US"/>
        </w:rPr>
        <w:t xml:space="preserve">. Pupils as well as teachers will be encouraged to participate. </w:t>
      </w:r>
    </w:p>
    <w:p w14:paraId="5B985A99" w14:textId="7ED89823" w:rsidR="00942A50" w:rsidRPr="00BD1437" w:rsidRDefault="00942A50" w:rsidP="009F0692">
      <w:pPr>
        <w:spacing w:after="0" w:line="240" w:lineRule="auto"/>
        <w:rPr>
          <w:color w:val="C45911" w:themeColor="accent2" w:themeShade="BF"/>
          <w:lang w:val="en-US"/>
        </w:rPr>
      </w:pPr>
    </w:p>
    <w:p w14:paraId="565180E2" w14:textId="6DF6C7A5" w:rsidR="00942A50" w:rsidRPr="00BD1437" w:rsidRDefault="00942A50" w:rsidP="009F0692">
      <w:pPr>
        <w:spacing w:after="0" w:line="240" w:lineRule="auto"/>
        <w:rPr>
          <w:color w:val="C45911" w:themeColor="accent2" w:themeShade="BF"/>
          <w:lang w:val="en-US"/>
        </w:rPr>
      </w:pPr>
      <w:r w:rsidRPr="00BD1437">
        <w:rPr>
          <w:color w:val="C45911" w:themeColor="accent2" w:themeShade="BF"/>
          <w:lang w:val="en-US"/>
        </w:rPr>
        <w:t xml:space="preserve">Once the training </w:t>
      </w:r>
      <w:proofErr w:type="spellStart"/>
      <w:r w:rsidRPr="00BD1437">
        <w:rPr>
          <w:color w:val="C45911" w:themeColor="accent2" w:themeShade="BF"/>
          <w:lang w:val="en-US"/>
        </w:rPr>
        <w:t>programme</w:t>
      </w:r>
      <w:proofErr w:type="spellEnd"/>
      <w:r w:rsidRPr="00BD1437">
        <w:rPr>
          <w:color w:val="C45911" w:themeColor="accent2" w:themeShade="BF"/>
          <w:lang w:val="en-US"/>
        </w:rPr>
        <w:t xml:space="preserve"> has been finalized, we shall also invite staff members at the local library(</w:t>
      </w:r>
      <w:proofErr w:type="spellStart"/>
      <w:r w:rsidRPr="00BD1437">
        <w:rPr>
          <w:color w:val="C45911" w:themeColor="accent2" w:themeShade="BF"/>
          <w:lang w:val="en-US"/>
        </w:rPr>
        <w:t>ies</w:t>
      </w:r>
      <w:proofErr w:type="spellEnd"/>
      <w:r w:rsidRPr="00BD1437">
        <w:rPr>
          <w:color w:val="C45911" w:themeColor="accent2" w:themeShade="BF"/>
          <w:lang w:val="en-US"/>
        </w:rPr>
        <w:t>) to participate, as well as families who access library services.</w:t>
      </w:r>
    </w:p>
    <w:p w14:paraId="2F55FBB4" w14:textId="77777777" w:rsidR="00BF1652" w:rsidRPr="009F0692" w:rsidRDefault="00BF1652" w:rsidP="009F0692">
      <w:pPr>
        <w:spacing w:after="0" w:line="240" w:lineRule="auto"/>
        <w:rPr>
          <w:lang w:val="en-US"/>
        </w:rPr>
      </w:pPr>
    </w:p>
    <w:p w14:paraId="252EFC55" w14:textId="77777777" w:rsidR="00C80FA6" w:rsidRDefault="00C80FA6" w:rsidP="00C80FA6">
      <w:pPr>
        <w:spacing w:after="0" w:line="240" w:lineRule="auto"/>
        <w:rPr>
          <w:lang w:val="en-US"/>
        </w:rPr>
      </w:pPr>
    </w:p>
    <w:p w14:paraId="1693147C" w14:textId="77777777" w:rsidR="00C80FA6" w:rsidRPr="005A3481" w:rsidRDefault="00C80FA6" w:rsidP="00C80FA6">
      <w:pPr>
        <w:spacing w:after="0" w:line="240" w:lineRule="auto"/>
        <w:rPr>
          <w:b/>
          <w:sz w:val="24"/>
          <w:szCs w:val="24"/>
          <w:lang w:val="en-US"/>
        </w:rPr>
      </w:pPr>
      <w:r w:rsidRPr="005A3481">
        <w:rPr>
          <w:b/>
          <w:sz w:val="24"/>
          <w:szCs w:val="24"/>
          <w:lang w:val="en-US"/>
        </w:rPr>
        <w:t>Planning</w:t>
      </w:r>
      <w:r w:rsidR="005A3481" w:rsidRPr="005A3481">
        <w:rPr>
          <w:b/>
          <w:sz w:val="24"/>
          <w:szCs w:val="24"/>
          <w:lang w:val="en-US"/>
        </w:rPr>
        <w:t xml:space="preserve"> activities and results in year 2 - 3</w:t>
      </w:r>
    </w:p>
    <w:p w14:paraId="23859717" w14:textId="77777777" w:rsidR="00C80FA6" w:rsidRDefault="00C80FA6" w:rsidP="00C80FA6">
      <w:pPr>
        <w:spacing w:after="0" w:line="240" w:lineRule="auto"/>
        <w:rPr>
          <w:b/>
          <w:sz w:val="24"/>
          <w:szCs w:val="24"/>
          <w:lang w:val="en-US"/>
        </w:rPr>
      </w:pPr>
    </w:p>
    <w:p w14:paraId="5702101E" w14:textId="7D08D5AA" w:rsidR="00C80FA6" w:rsidRPr="00BD1437" w:rsidRDefault="00BF1652" w:rsidP="00C80FA6">
      <w:pPr>
        <w:spacing w:after="0" w:line="240" w:lineRule="auto"/>
        <w:rPr>
          <w:color w:val="C45911" w:themeColor="accent2" w:themeShade="BF"/>
          <w:lang w:val="en-US"/>
        </w:rPr>
      </w:pPr>
      <w:r w:rsidRPr="00BD1437">
        <w:rPr>
          <w:color w:val="C45911" w:themeColor="accent2" w:themeShade="BF"/>
          <w:lang w:val="en-US"/>
        </w:rPr>
        <w:t xml:space="preserve">Please see the attached </w:t>
      </w:r>
      <w:r w:rsidR="00E8169F" w:rsidRPr="00BD1437">
        <w:rPr>
          <w:color w:val="C45911" w:themeColor="accent2" w:themeShade="BF"/>
          <w:lang w:val="en-US"/>
        </w:rPr>
        <w:t xml:space="preserve">training </w:t>
      </w:r>
      <w:proofErr w:type="spellStart"/>
      <w:r w:rsidR="00E8169F" w:rsidRPr="00BD1437">
        <w:rPr>
          <w:color w:val="C45911" w:themeColor="accent2" w:themeShade="BF"/>
          <w:lang w:val="en-US"/>
        </w:rPr>
        <w:t>programme</w:t>
      </w:r>
      <w:proofErr w:type="spellEnd"/>
      <w:r w:rsidR="00E8169F" w:rsidRPr="00BD1437">
        <w:rPr>
          <w:color w:val="C45911" w:themeColor="accent2" w:themeShade="BF"/>
          <w:lang w:val="en-US"/>
        </w:rPr>
        <w:t xml:space="preserve"> for details of activities planned and associated learning objectives.</w:t>
      </w:r>
    </w:p>
    <w:p w14:paraId="053122AC" w14:textId="77777777" w:rsidR="005A3481" w:rsidRPr="00BD1437" w:rsidRDefault="005A3481" w:rsidP="00C80FA6">
      <w:pPr>
        <w:spacing w:after="0" w:line="240" w:lineRule="auto"/>
        <w:rPr>
          <w:color w:val="C45911" w:themeColor="accent2" w:themeShade="BF"/>
          <w:lang w:val="en-US"/>
        </w:rPr>
      </w:pPr>
    </w:p>
    <w:p w14:paraId="490BD6CF" w14:textId="77777777" w:rsidR="005A3481" w:rsidRDefault="005A3481" w:rsidP="00C80FA6">
      <w:pPr>
        <w:spacing w:after="0" w:line="240" w:lineRule="auto"/>
        <w:rPr>
          <w:b/>
          <w:sz w:val="24"/>
          <w:szCs w:val="24"/>
          <w:lang w:val="en-US"/>
        </w:rPr>
      </w:pPr>
    </w:p>
    <w:p w14:paraId="663C911F" w14:textId="5C831811" w:rsidR="005A3481" w:rsidRDefault="005A3481" w:rsidP="00C80FA6">
      <w:pPr>
        <w:spacing w:after="0" w:line="240" w:lineRule="auto"/>
        <w:rPr>
          <w:b/>
          <w:sz w:val="24"/>
          <w:szCs w:val="24"/>
          <w:lang w:val="en-US"/>
        </w:rPr>
      </w:pPr>
      <w:r>
        <w:rPr>
          <w:b/>
          <w:sz w:val="24"/>
          <w:szCs w:val="24"/>
          <w:lang w:val="en-US"/>
        </w:rPr>
        <w:t>Evaluation methods</w:t>
      </w:r>
    </w:p>
    <w:p w14:paraId="2C3F3B2A" w14:textId="10CD7ED2" w:rsidR="002C2072" w:rsidRDefault="002C2072" w:rsidP="00C80FA6">
      <w:pPr>
        <w:spacing w:after="0" w:line="240" w:lineRule="auto"/>
        <w:rPr>
          <w:b/>
          <w:sz w:val="24"/>
          <w:szCs w:val="24"/>
          <w:lang w:val="en-US"/>
        </w:rPr>
      </w:pPr>
    </w:p>
    <w:p w14:paraId="3686F97C" w14:textId="7CCAF473" w:rsidR="002C2072" w:rsidRPr="00BD1437" w:rsidRDefault="008F0C3A" w:rsidP="00C80FA6">
      <w:pPr>
        <w:spacing w:after="0" w:line="240" w:lineRule="auto"/>
        <w:rPr>
          <w:color w:val="C45911" w:themeColor="accent2" w:themeShade="BF"/>
          <w:lang w:val="en-US"/>
        </w:rPr>
      </w:pPr>
      <w:r w:rsidRPr="00BD1437">
        <w:rPr>
          <w:color w:val="C45911" w:themeColor="accent2" w:themeShade="BF"/>
          <w:lang w:val="en-US"/>
        </w:rPr>
        <w:t>We shall be conducting an ongoing evaluation of the project as follows:</w:t>
      </w:r>
    </w:p>
    <w:p w14:paraId="1110D1F9" w14:textId="4D53EA0A" w:rsidR="008F0C3A" w:rsidRPr="00BD1437" w:rsidRDefault="008F0C3A" w:rsidP="00C80FA6">
      <w:pPr>
        <w:spacing w:after="0" w:line="240" w:lineRule="auto"/>
        <w:rPr>
          <w:color w:val="C45911" w:themeColor="accent2" w:themeShade="BF"/>
          <w:lang w:val="en-US"/>
        </w:rPr>
      </w:pPr>
    </w:p>
    <w:p w14:paraId="27465E65" w14:textId="0D767972" w:rsidR="008F0C3A" w:rsidRPr="00BD1437" w:rsidRDefault="008F0C3A" w:rsidP="008F0C3A">
      <w:pPr>
        <w:pStyle w:val="ListParagraph"/>
        <w:numPr>
          <w:ilvl w:val="0"/>
          <w:numId w:val="13"/>
        </w:numPr>
        <w:spacing w:after="0" w:line="240" w:lineRule="auto"/>
        <w:rPr>
          <w:color w:val="C45911" w:themeColor="accent2" w:themeShade="BF"/>
          <w:lang w:val="en-US"/>
        </w:rPr>
      </w:pPr>
      <w:r w:rsidRPr="00BD1437">
        <w:rPr>
          <w:color w:val="C45911" w:themeColor="accent2" w:themeShade="BF"/>
          <w:lang w:val="en-US"/>
        </w:rPr>
        <w:t xml:space="preserve">Collecting Feedback Forms from all training participants after each session. Feedback forms will be adapted according to the target audience. </w:t>
      </w:r>
    </w:p>
    <w:sectPr w:rsidR="008F0C3A" w:rsidRPr="00BD143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ADC9" w14:textId="77777777" w:rsidR="008A0F4C" w:rsidRDefault="008A0F4C" w:rsidP="008A0F4C">
      <w:pPr>
        <w:spacing w:after="0" w:line="240" w:lineRule="auto"/>
      </w:pPr>
      <w:r>
        <w:separator/>
      </w:r>
    </w:p>
  </w:endnote>
  <w:endnote w:type="continuationSeparator" w:id="0">
    <w:p w14:paraId="5AD5BFB9" w14:textId="77777777" w:rsidR="008A0F4C" w:rsidRDefault="008A0F4C" w:rsidP="008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623396"/>
      <w:docPartObj>
        <w:docPartGallery w:val="Page Numbers (Bottom of Page)"/>
        <w:docPartUnique/>
      </w:docPartObj>
    </w:sdtPr>
    <w:sdtEndPr/>
    <w:sdtContent>
      <w:p w14:paraId="3B2EC903" w14:textId="77777777" w:rsidR="008A0F4C" w:rsidRDefault="008A0F4C">
        <w:pPr>
          <w:pStyle w:val="Footer"/>
          <w:jc w:val="center"/>
        </w:pPr>
        <w:r>
          <w:fldChar w:fldCharType="begin"/>
        </w:r>
        <w:r>
          <w:instrText>PAGE   \* MERGEFORMAT</w:instrText>
        </w:r>
        <w:r>
          <w:fldChar w:fldCharType="separate"/>
        </w:r>
        <w:r>
          <w:t>2</w:t>
        </w:r>
        <w:r>
          <w:fldChar w:fldCharType="end"/>
        </w:r>
      </w:p>
    </w:sdtContent>
  </w:sdt>
  <w:p w14:paraId="0CE25B00" w14:textId="77777777" w:rsidR="008A0F4C" w:rsidRDefault="008A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B97C" w14:textId="77777777" w:rsidR="008A0F4C" w:rsidRDefault="008A0F4C" w:rsidP="008A0F4C">
      <w:pPr>
        <w:spacing w:after="0" w:line="240" w:lineRule="auto"/>
      </w:pPr>
      <w:r>
        <w:separator/>
      </w:r>
    </w:p>
  </w:footnote>
  <w:footnote w:type="continuationSeparator" w:id="0">
    <w:p w14:paraId="6FDDA382" w14:textId="77777777" w:rsidR="008A0F4C" w:rsidRDefault="008A0F4C" w:rsidP="008A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3DF"/>
    <w:multiLevelType w:val="hybridMultilevel"/>
    <w:tmpl w:val="F4EC8A4C"/>
    <w:lvl w:ilvl="0" w:tplc="9134F560">
      <w:start w:val="7"/>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38323A"/>
    <w:multiLevelType w:val="hybridMultilevel"/>
    <w:tmpl w:val="F89892C0"/>
    <w:lvl w:ilvl="0" w:tplc="9134F560">
      <w:start w:val="7"/>
      <w:numFmt w:val="decimal"/>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947C5"/>
    <w:multiLevelType w:val="hybridMultilevel"/>
    <w:tmpl w:val="AF1427AE"/>
    <w:lvl w:ilvl="0" w:tplc="D5C46F56">
      <w:start w:val="1"/>
      <w:numFmt w:val="decimal"/>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6C1B73"/>
    <w:multiLevelType w:val="hybridMultilevel"/>
    <w:tmpl w:val="5DC020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2D60A2"/>
    <w:multiLevelType w:val="hybridMultilevel"/>
    <w:tmpl w:val="67581B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3">
      <w:start w:val="1"/>
      <w:numFmt w:val="bullet"/>
      <w:lvlText w:val="o"/>
      <w:lvlJc w:val="left"/>
      <w:pPr>
        <w:ind w:left="1800" w:hanging="180"/>
      </w:pPr>
      <w:rPr>
        <w:rFonts w:ascii="Courier New" w:hAnsi="Courier New" w:cs="Courier New" w:hint="default"/>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494B0372"/>
    <w:multiLevelType w:val="hybridMultilevel"/>
    <w:tmpl w:val="2690EF2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56721666"/>
    <w:multiLevelType w:val="hybridMultilevel"/>
    <w:tmpl w:val="660C6B48"/>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7" w15:restartNumberingAfterBreak="0">
    <w:nsid w:val="61721012"/>
    <w:multiLevelType w:val="hybridMultilevel"/>
    <w:tmpl w:val="24D2D7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FE5FF7"/>
    <w:multiLevelType w:val="hybridMultilevel"/>
    <w:tmpl w:val="87DEE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B129D8"/>
    <w:multiLevelType w:val="hybridMultilevel"/>
    <w:tmpl w:val="DEC60AF6"/>
    <w:lvl w:ilvl="0" w:tplc="12EC317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C4722F"/>
    <w:multiLevelType w:val="hybridMultilevel"/>
    <w:tmpl w:val="82767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F0D790B"/>
    <w:multiLevelType w:val="hybridMultilevel"/>
    <w:tmpl w:val="0D887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5"/>
  </w:num>
  <w:num w:numId="6">
    <w:abstractNumId w:val="4"/>
  </w:num>
  <w:num w:numId="7">
    <w:abstractNumId w:val="2"/>
  </w:num>
  <w:num w:numId="8">
    <w:abstractNumId w:val="9"/>
  </w:num>
  <w:num w:numId="9">
    <w:abstractNumId w:val="8"/>
  </w:num>
  <w:num w:numId="10">
    <w:abstractNumId w:val="7"/>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F"/>
    <w:rsid w:val="000F7529"/>
    <w:rsid w:val="00154AC6"/>
    <w:rsid w:val="00175144"/>
    <w:rsid w:val="001B3ED1"/>
    <w:rsid w:val="00282439"/>
    <w:rsid w:val="002C2072"/>
    <w:rsid w:val="002C3B64"/>
    <w:rsid w:val="00334AE8"/>
    <w:rsid w:val="00347EA2"/>
    <w:rsid w:val="003634E4"/>
    <w:rsid w:val="00386ED1"/>
    <w:rsid w:val="00391A65"/>
    <w:rsid w:val="003B259B"/>
    <w:rsid w:val="003C067F"/>
    <w:rsid w:val="004046EF"/>
    <w:rsid w:val="005A3481"/>
    <w:rsid w:val="005D4524"/>
    <w:rsid w:val="00624266"/>
    <w:rsid w:val="006C1773"/>
    <w:rsid w:val="006C346E"/>
    <w:rsid w:val="006C455B"/>
    <w:rsid w:val="006C56C6"/>
    <w:rsid w:val="00751F4E"/>
    <w:rsid w:val="00804C09"/>
    <w:rsid w:val="008175F6"/>
    <w:rsid w:val="008A0F4C"/>
    <w:rsid w:val="008F0C3A"/>
    <w:rsid w:val="00942A50"/>
    <w:rsid w:val="009F0692"/>
    <w:rsid w:val="00A14226"/>
    <w:rsid w:val="00A66132"/>
    <w:rsid w:val="00BA772A"/>
    <w:rsid w:val="00BD1437"/>
    <w:rsid w:val="00BE243F"/>
    <w:rsid w:val="00BF1652"/>
    <w:rsid w:val="00C16924"/>
    <w:rsid w:val="00C80FA6"/>
    <w:rsid w:val="00CA0367"/>
    <w:rsid w:val="00CF24D8"/>
    <w:rsid w:val="00CF3C54"/>
    <w:rsid w:val="00DA32B0"/>
    <w:rsid w:val="00DF7324"/>
    <w:rsid w:val="00E527CA"/>
    <w:rsid w:val="00E8169F"/>
    <w:rsid w:val="00F37EA9"/>
    <w:rsid w:val="00FB3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8AD8"/>
  <w15:chartTrackingRefBased/>
  <w15:docId w15:val="{E1238904-5317-4020-A14D-9E83D96D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EF"/>
    <w:pPr>
      <w:ind w:left="720"/>
      <w:contextualSpacing/>
    </w:pPr>
  </w:style>
  <w:style w:type="paragraph" w:styleId="Header">
    <w:name w:val="header"/>
    <w:basedOn w:val="Normal"/>
    <w:link w:val="HeaderChar"/>
    <w:uiPriority w:val="99"/>
    <w:unhideWhenUsed/>
    <w:rsid w:val="008A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F4C"/>
  </w:style>
  <w:style w:type="paragraph" w:styleId="Footer">
    <w:name w:val="footer"/>
    <w:basedOn w:val="Normal"/>
    <w:link w:val="FooterChar"/>
    <w:uiPriority w:val="99"/>
    <w:unhideWhenUsed/>
    <w:rsid w:val="008A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F4C"/>
  </w:style>
  <w:style w:type="table" w:styleId="TableGrid">
    <w:name w:val="Table Grid"/>
    <w:basedOn w:val="TableNormal"/>
    <w:uiPriority w:val="39"/>
    <w:rsid w:val="00C8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73"/>
    <w:rPr>
      <w:rFonts w:ascii="Segoe UI" w:hAnsi="Segoe UI" w:cs="Segoe UI"/>
      <w:sz w:val="18"/>
      <w:szCs w:val="18"/>
    </w:rPr>
  </w:style>
  <w:style w:type="character" w:styleId="Hyperlink">
    <w:name w:val="Hyperlink"/>
    <w:basedOn w:val="DefaultParagraphFont"/>
    <w:uiPriority w:val="99"/>
    <w:unhideWhenUsed/>
    <w:rsid w:val="003B259B"/>
    <w:rPr>
      <w:color w:val="0563C1" w:themeColor="hyperlink"/>
      <w:u w:val="single"/>
    </w:rPr>
  </w:style>
  <w:style w:type="character" w:styleId="UnresolvedMention">
    <w:name w:val="Unresolved Mention"/>
    <w:basedOn w:val="DefaultParagraphFont"/>
    <w:uiPriority w:val="99"/>
    <w:semiHidden/>
    <w:unhideWhenUsed/>
    <w:rsid w:val="003B25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7822">
      <w:bodyDiv w:val="1"/>
      <w:marLeft w:val="0"/>
      <w:marRight w:val="0"/>
      <w:marTop w:val="0"/>
      <w:marBottom w:val="0"/>
      <w:divBdr>
        <w:top w:val="none" w:sz="0" w:space="0" w:color="auto"/>
        <w:left w:val="none" w:sz="0" w:space="0" w:color="auto"/>
        <w:bottom w:val="none" w:sz="0" w:space="0" w:color="auto"/>
        <w:right w:val="none" w:sz="0" w:space="0" w:color="auto"/>
      </w:divBdr>
    </w:div>
    <w:div w:id="13184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jrc/en/digcomp/digital-competence-fram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techpartnership.com/basic-digital-skills/basic-digital-skills-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competence.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D70A9A63AEB4E9158BAE6A1D40EE4" ma:contentTypeVersion="6" ma:contentTypeDescription="Create a new document." ma:contentTypeScope="" ma:versionID="810553b724ac0a9c16839f1d3780f3f7">
  <xsd:schema xmlns:xsd="http://www.w3.org/2001/XMLSchema" xmlns:xs="http://www.w3.org/2001/XMLSchema" xmlns:p="http://schemas.microsoft.com/office/2006/metadata/properties" xmlns:ns2="eef99d0b-724e-4dd1-befb-ed90fe1cd780" xmlns:ns3="83644269-6556-40c4-b08e-78b3b489447b" targetNamespace="http://schemas.microsoft.com/office/2006/metadata/properties" ma:root="true" ma:fieldsID="2907935aa6ac16525c8cae365006cef9" ns2:_="" ns3:_="">
    <xsd:import namespace="eef99d0b-724e-4dd1-befb-ed90fe1cd780"/>
    <xsd:import namespace="83644269-6556-40c4-b08e-78b3b4894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99d0b-724e-4dd1-befb-ed90fe1cd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44269-6556-40c4-b08e-78b3b4894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732FA-0FFC-4457-B2F9-8E35F98BF73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333c034-fa46-4b60-b23b-0bee0455ff39"/>
    <ds:schemaRef ds:uri="ce5356e8-5a19-4905-b3c6-1fbd42c8179c"/>
    <ds:schemaRef ds:uri="http://www.w3.org/XML/1998/namespace"/>
  </ds:schemaRefs>
</ds:datastoreItem>
</file>

<file path=customXml/itemProps2.xml><?xml version="1.0" encoding="utf-8"?>
<ds:datastoreItem xmlns:ds="http://schemas.openxmlformats.org/officeDocument/2006/customXml" ds:itemID="{54C3FC18-206A-4609-B75F-DB167115E6C2}">
  <ds:schemaRefs>
    <ds:schemaRef ds:uri="http://schemas.microsoft.com/sharepoint/v3/contenttype/forms"/>
  </ds:schemaRefs>
</ds:datastoreItem>
</file>

<file path=customXml/itemProps3.xml><?xml version="1.0" encoding="utf-8"?>
<ds:datastoreItem xmlns:ds="http://schemas.openxmlformats.org/officeDocument/2006/customXml" ds:itemID="{3B09DB04-C53C-4CF9-B3D8-4EBF441650FC}"/>
</file>

<file path=docProps/app.xml><?xml version="1.0" encoding="utf-8"?>
<Properties xmlns="http://schemas.openxmlformats.org/officeDocument/2006/extended-properties" xmlns:vt="http://schemas.openxmlformats.org/officeDocument/2006/docPropsVTypes">
  <Template>Normal</Template>
  <TotalTime>121</TotalTime>
  <Pages>5</Pages>
  <Words>1565</Words>
  <Characters>8924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Klute</dc:creator>
  <cp:keywords/>
  <dc:description/>
  <cp:lastModifiedBy>Sheena Vella</cp:lastModifiedBy>
  <cp:revision>35</cp:revision>
  <cp:lastPrinted>2018-06-04T14:00:00Z</cp:lastPrinted>
  <dcterms:created xsi:type="dcterms:W3CDTF">2018-06-04T12:51:00Z</dcterms:created>
  <dcterms:modified xsi:type="dcterms:W3CDTF">2018-09-21T13:39:00Z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0x010100744D70A9A63AEB4E9158BAE6A1D40EE4</vt:lpwstr>
  </property>
</Properties>
</file>